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D0D2A9" w14:textId="48C70404" w:rsidR="004C09E6" w:rsidRPr="001C6146" w:rsidRDefault="00423DA3" w:rsidP="004C09E6">
      <w:pPr>
        <w:pStyle w:val="3GPPHeader"/>
        <w:spacing w:after="60"/>
        <w:rPr>
          <w:sz w:val="32"/>
          <w:szCs w:val="32"/>
          <w:highlight w:val="yellow"/>
        </w:rPr>
      </w:pPr>
      <w:bookmarkStart w:id="0" w:name="_Hlk53499628"/>
      <w:r w:rsidRPr="00CE0424">
        <w:t>3GPP TSG-RAN WG</w:t>
      </w:r>
      <w:r>
        <w:t>2</w:t>
      </w:r>
      <w:r w:rsidRPr="00CE0424">
        <w:t xml:space="preserve"> #</w:t>
      </w:r>
      <w:r>
        <w:t>11</w:t>
      </w:r>
      <w:r w:rsidR="00545772">
        <w:t>6</w:t>
      </w:r>
      <w:r w:rsidR="00046D7D">
        <w:t>bis-</w:t>
      </w:r>
      <w:r>
        <w:t>e</w:t>
      </w:r>
      <w:r w:rsidRPr="00CE0424">
        <w:tab/>
      </w:r>
      <w:r w:rsidR="0042396A" w:rsidRPr="0042396A">
        <w:rPr>
          <w:sz w:val="32"/>
          <w:szCs w:val="32"/>
        </w:rPr>
        <w:t>R2-2201630</w:t>
      </w:r>
    </w:p>
    <w:bookmarkEnd w:id="0"/>
    <w:p w14:paraId="68B70912" w14:textId="1C225EDF" w:rsidR="00A149B1" w:rsidRPr="00C53B14" w:rsidRDefault="00423DA3" w:rsidP="00A149B1">
      <w:pPr>
        <w:pStyle w:val="3GPPHeader"/>
      </w:pPr>
      <w:r>
        <w:t xml:space="preserve">Electronic meeting, </w:t>
      </w:r>
      <w:r w:rsidRPr="002270E9">
        <w:t>202</w:t>
      </w:r>
      <w:r w:rsidR="00046D7D">
        <w:t>2</w:t>
      </w:r>
      <w:r w:rsidRPr="002270E9">
        <w:t>-</w:t>
      </w:r>
      <w:r w:rsidR="00046D7D">
        <w:t>01</w:t>
      </w:r>
      <w:r w:rsidRPr="002270E9">
        <w:t>-</w:t>
      </w:r>
      <w:r w:rsidR="00545772">
        <w:t>1</w:t>
      </w:r>
      <w:r w:rsidR="00046D7D">
        <w:t>7</w:t>
      </w:r>
      <w:r w:rsidRPr="002270E9">
        <w:t xml:space="preserve"> - 202</w:t>
      </w:r>
      <w:r w:rsidR="00046D7D">
        <w:t>2</w:t>
      </w:r>
      <w:r w:rsidRPr="002270E9">
        <w:t>-</w:t>
      </w:r>
      <w:r w:rsidR="00046D7D">
        <w:t>01</w:t>
      </w:r>
      <w:r w:rsidR="00545772">
        <w:t>-</w:t>
      </w:r>
      <w:r w:rsidR="00046D7D">
        <w:t>25</w:t>
      </w:r>
      <w:r w:rsidR="001C6146">
        <w:tab/>
        <w:t>Revision of R2-</w:t>
      </w:r>
      <w:r w:rsidR="00046D7D" w:rsidRPr="00046D7D">
        <w:t>2110952</w:t>
      </w:r>
    </w:p>
    <w:p w14:paraId="271D2771" w14:textId="77777777" w:rsidR="004C09E6" w:rsidRPr="00C53B14" w:rsidRDefault="004C09E6" w:rsidP="004C09E6">
      <w:pPr>
        <w:pStyle w:val="3GPPHeader"/>
      </w:pPr>
    </w:p>
    <w:p w14:paraId="247ECFA0" w14:textId="773B33DD" w:rsidR="004C09E6" w:rsidRPr="00C53B14" w:rsidRDefault="004C09E6" w:rsidP="004C09E6">
      <w:pPr>
        <w:pStyle w:val="3GPPHeader"/>
        <w:rPr>
          <w:sz w:val="22"/>
          <w:szCs w:val="22"/>
        </w:rPr>
      </w:pPr>
      <w:r w:rsidRPr="00C53B14">
        <w:rPr>
          <w:sz w:val="22"/>
          <w:szCs w:val="22"/>
        </w:rPr>
        <w:t>Agenda Item:</w:t>
      </w:r>
      <w:r w:rsidRPr="00C53B14">
        <w:rPr>
          <w:sz w:val="22"/>
          <w:szCs w:val="22"/>
        </w:rPr>
        <w:tab/>
      </w:r>
      <w:r w:rsidR="0096524C" w:rsidRPr="00C53B14">
        <w:rPr>
          <w:sz w:val="22"/>
          <w:szCs w:val="22"/>
        </w:rPr>
        <w:t>8</w:t>
      </w:r>
      <w:r w:rsidRPr="00C53B14">
        <w:rPr>
          <w:sz w:val="22"/>
          <w:szCs w:val="22"/>
        </w:rPr>
        <w:t>.</w:t>
      </w:r>
      <w:r w:rsidR="0096524C" w:rsidRPr="00C53B14">
        <w:rPr>
          <w:sz w:val="22"/>
          <w:szCs w:val="22"/>
        </w:rPr>
        <w:t>10</w:t>
      </w:r>
      <w:r w:rsidRPr="00C53B14">
        <w:rPr>
          <w:sz w:val="22"/>
          <w:szCs w:val="22"/>
        </w:rPr>
        <w:t>.</w:t>
      </w:r>
      <w:r w:rsidR="0096524C" w:rsidRPr="00C53B14">
        <w:rPr>
          <w:sz w:val="22"/>
          <w:szCs w:val="22"/>
        </w:rPr>
        <w:t>2</w:t>
      </w:r>
      <w:r w:rsidR="000E016A" w:rsidRPr="00C53B14">
        <w:rPr>
          <w:sz w:val="22"/>
          <w:szCs w:val="22"/>
        </w:rPr>
        <w:t>.1</w:t>
      </w:r>
    </w:p>
    <w:p w14:paraId="2FF00218" w14:textId="52E7C40A" w:rsidR="004C09E6" w:rsidRPr="00C53B14" w:rsidRDefault="004C09E6" w:rsidP="004C09E6">
      <w:pPr>
        <w:pStyle w:val="3GPPHeader"/>
        <w:rPr>
          <w:sz w:val="22"/>
          <w:szCs w:val="22"/>
        </w:rPr>
      </w:pPr>
      <w:r w:rsidRPr="00C53B14">
        <w:rPr>
          <w:sz w:val="22"/>
          <w:szCs w:val="22"/>
        </w:rPr>
        <w:t>Source:</w:t>
      </w:r>
      <w:r w:rsidRPr="00C53B14">
        <w:rPr>
          <w:sz w:val="22"/>
          <w:szCs w:val="22"/>
        </w:rPr>
        <w:tab/>
        <w:t>Ericsson</w:t>
      </w:r>
    </w:p>
    <w:p w14:paraId="258D2BCF" w14:textId="6DEBA985" w:rsidR="004C09E6" w:rsidRPr="00C53B14" w:rsidRDefault="004C09E6" w:rsidP="004C09E6">
      <w:pPr>
        <w:pStyle w:val="3GPPHeader"/>
        <w:rPr>
          <w:sz w:val="22"/>
          <w:szCs w:val="22"/>
        </w:rPr>
      </w:pPr>
      <w:r w:rsidRPr="00C53B14">
        <w:rPr>
          <w:sz w:val="22"/>
          <w:szCs w:val="22"/>
        </w:rPr>
        <w:t>Title:</w:t>
      </w:r>
      <w:r w:rsidRPr="00C53B14">
        <w:rPr>
          <w:sz w:val="22"/>
          <w:szCs w:val="22"/>
        </w:rPr>
        <w:tab/>
      </w:r>
      <w:r w:rsidR="00A3486F">
        <w:rPr>
          <w:sz w:val="22"/>
          <w:szCs w:val="22"/>
        </w:rPr>
        <w:t>R</w:t>
      </w:r>
      <w:r w:rsidR="00A149B1" w:rsidRPr="00C53B14">
        <w:rPr>
          <w:sz w:val="22"/>
          <w:szCs w:val="22"/>
        </w:rPr>
        <w:t xml:space="preserve">eporting </w:t>
      </w:r>
      <w:r w:rsidR="008E3FB8" w:rsidRPr="00C53B14">
        <w:t>information about UE specific TA pre-compensation</w:t>
      </w:r>
      <w:r w:rsidR="0028529E">
        <w:t xml:space="preserve"> </w:t>
      </w:r>
      <w:r w:rsidR="0028529E">
        <w:rPr>
          <w:sz w:val="22"/>
          <w:szCs w:val="22"/>
        </w:rPr>
        <w:t>in NTNs</w:t>
      </w:r>
    </w:p>
    <w:p w14:paraId="33D67CEA" w14:textId="52243751" w:rsidR="004C09E6" w:rsidRPr="00C53B14" w:rsidRDefault="004C09E6" w:rsidP="004C09E6">
      <w:pPr>
        <w:pStyle w:val="3GPPHeader"/>
        <w:rPr>
          <w:sz w:val="22"/>
          <w:szCs w:val="22"/>
        </w:rPr>
      </w:pPr>
      <w:r w:rsidRPr="00C53B14">
        <w:rPr>
          <w:sz w:val="22"/>
          <w:szCs w:val="22"/>
        </w:rPr>
        <w:t>Document for:</w:t>
      </w:r>
      <w:r w:rsidRPr="00C53B14">
        <w:rPr>
          <w:sz w:val="22"/>
          <w:szCs w:val="22"/>
        </w:rPr>
        <w:tab/>
        <w:t>Discussion, Decision</w:t>
      </w:r>
    </w:p>
    <w:p w14:paraId="3B0736C7" w14:textId="229A80AA" w:rsidR="00A27876" w:rsidRPr="00C53B14" w:rsidRDefault="00A27876" w:rsidP="00CC3771"/>
    <w:p w14:paraId="4682F93F" w14:textId="306AB1E6" w:rsidR="004C09E6" w:rsidRPr="00C53B14" w:rsidRDefault="004C09E6" w:rsidP="004C09E6">
      <w:pPr>
        <w:pStyle w:val="Heading1"/>
      </w:pPr>
      <w:r w:rsidRPr="00C53B14">
        <w:t>Introduction</w:t>
      </w:r>
    </w:p>
    <w:p w14:paraId="028FE1DF" w14:textId="175D424D" w:rsidR="00DA1250" w:rsidRPr="00A75BEC" w:rsidRDefault="00DA1250" w:rsidP="00DA1250">
      <w:pPr>
        <w:rPr>
          <w:rFonts w:eastAsia="PMingLiU"/>
          <w:lang w:eastAsia="zh-TW"/>
        </w:rPr>
      </w:pPr>
      <w:r w:rsidRPr="00A75BEC">
        <w:t xml:space="preserve">At the RAN#86 meeting, </w:t>
      </w:r>
      <w:r w:rsidRPr="00A75BEC">
        <w:rPr>
          <w:rStyle w:val="normaltextrun"/>
          <w:color w:val="000000"/>
          <w:szCs w:val="20"/>
        </w:rPr>
        <w:t>the Study Item on “</w:t>
      </w:r>
      <w:r w:rsidRPr="00A75BEC">
        <w:rPr>
          <w:rStyle w:val="normaltextrun"/>
          <w:szCs w:val="20"/>
        </w:rPr>
        <w:t xml:space="preserve">Study on solutions for </w:t>
      </w:r>
      <w:r w:rsidRPr="00A75BEC">
        <w:rPr>
          <w:rStyle w:val="normaltextrun"/>
          <w:color w:val="000000"/>
          <w:szCs w:val="20"/>
        </w:rPr>
        <w:t xml:space="preserve">NR to support non-terrestrial network” was completed </w:t>
      </w:r>
      <w:r w:rsidRPr="00C53B14">
        <w:rPr>
          <w:rStyle w:val="xxbodytextChar"/>
          <w:rFonts w:cs="Arial"/>
          <w:lang w:val="en-GB"/>
        </w:rPr>
        <w:fldChar w:fldCharType="begin"/>
      </w:r>
      <w:r w:rsidRPr="00C53B14">
        <w:rPr>
          <w:rStyle w:val="xxbodytextChar"/>
          <w:rFonts w:cs="Arial"/>
          <w:lang w:val="en-GB"/>
        </w:rPr>
        <w:instrText xml:space="preserve"> REF _Ref45534353 \w \h </w:instrText>
      </w:r>
      <w:r w:rsidRPr="00C53B14">
        <w:rPr>
          <w:rStyle w:val="xxbodytextChar"/>
          <w:rFonts w:cs="Arial"/>
          <w:lang w:val="en-GB"/>
        </w:rPr>
      </w:r>
      <w:r w:rsidRPr="00C53B14">
        <w:rPr>
          <w:rStyle w:val="xxbodytextChar"/>
          <w:rFonts w:cs="Arial"/>
          <w:lang w:val="en-GB"/>
        </w:rPr>
        <w:fldChar w:fldCharType="separate"/>
      </w:r>
      <w:r w:rsidR="003908C9">
        <w:rPr>
          <w:rStyle w:val="xxbodytextChar"/>
          <w:rFonts w:cs="Arial"/>
          <w:lang w:val="en-GB"/>
        </w:rPr>
        <w:t>[1]</w:t>
      </w:r>
      <w:r w:rsidRPr="00C53B14">
        <w:rPr>
          <w:rStyle w:val="xxbodytextChar"/>
          <w:rFonts w:cs="Arial"/>
          <w:lang w:val="en-GB"/>
        </w:rPr>
        <w:fldChar w:fldCharType="end"/>
      </w:r>
      <w:r w:rsidRPr="00A75BEC">
        <w:rPr>
          <w:rStyle w:val="normaltextrun"/>
          <w:color w:val="000000"/>
          <w:szCs w:val="20"/>
        </w:rPr>
        <w:t xml:space="preserve"> </w:t>
      </w:r>
      <w:r w:rsidRPr="00A75BEC">
        <w:rPr>
          <w:rStyle w:val="normaltextrun"/>
          <w:color w:val="000000"/>
        </w:rPr>
        <w:t xml:space="preserve">and </w:t>
      </w:r>
      <w:r w:rsidRPr="00A75BEC">
        <w:rPr>
          <w:rStyle w:val="normaltextrun"/>
          <w:color w:val="000000"/>
          <w:szCs w:val="20"/>
        </w:rPr>
        <w:t>the corresponding work item was then approved and later updated at RAN#</w:t>
      </w:r>
      <w:r>
        <w:rPr>
          <w:rStyle w:val="normaltextrun"/>
          <w:color w:val="000000"/>
          <w:szCs w:val="20"/>
        </w:rPr>
        <w:t>9</w:t>
      </w:r>
      <w:r w:rsidR="00B447AD">
        <w:rPr>
          <w:rStyle w:val="normaltextrun"/>
          <w:color w:val="000000"/>
          <w:szCs w:val="20"/>
        </w:rPr>
        <w:t>3</w:t>
      </w:r>
      <w:r w:rsidRPr="00A75BEC">
        <w:rPr>
          <w:rStyle w:val="normaltextrun"/>
          <w:color w:val="000000"/>
          <w:szCs w:val="20"/>
        </w:rPr>
        <w:t xml:space="preserve"> meetin</w:t>
      </w:r>
      <w:r>
        <w:rPr>
          <w:rStyle w:val="normaltextrun"/>
          <w:color w:val="000000"/>
          <w:szCs w:val="20"/>
        </w:rPr>
        <w:t>g</w:t>
      </w:r>
      <w:r w:rsidR="00EE670B">
        <w:rPr>
          <w:rStyle w:val="normaltextrun"/>
          <w:color w:val="000000"/>
          <w:szCs w:val="20"/>
        </w:rPr>
        <w:t xml:space="preserve"> </w:t>
      </w:r>
      <w:r w:rsidR="00EE670B">
        <w:rPr>
          <w:rStyle w:val="normaltextrun"/>
          <w:color w:val="000000"/>
          <w:szCs w:val="20"/>
        </w:rPr>
        <w:fldChar w:fldCharType="begin"/>
      </w:r>
      <w:r w:rsidR="00EE670B">
        <w:rPr>
          <w:rStyle w:val="normaltextrun"/>
          <w:color w:val="000000"/>
          <w:szCs w:val="20"/>
        </w:rPr>
        <w:instrText xml:space="preserve"> REF _Ref85751098 \r \h </w:instrText>
      </w:r>
      <w:r w:rsidR="00EE670B">
        <w:rPr>
          <w:rStyle w:val="normaltextrun"/>
          <w:color w:val="000000"/>
          <w:szCs w:val="20"/>
        </w:rPr>
      </w:r>
      <w:r w:rsidR="00EE670B">
        <w:rPr>
          <w:rStyle w:val="normaltextrun"/>
          <w:color w:val="000000"/>
          <w:szCs w:val="20"/>
        </w:rPr>
        <w:fldChar w:fldCharType="separate"/>
      </w:r>
      <w:r w:rsidR="003908C9">
        <w:rPr>
          <w:rStyle w:val="normaltextrun"/>
          <w:color w:val="000000"/>
          <w:szCs w:val="20"/>
        </w:rPr>
        <w:t>[2]</w:t>
      </w:r>
      <w:r w:rsidR="00EE670B">
        <w:rPr>
          <w:rStyle w:val="normaltextrun"/>
          <w:color w:val="000000"/>
          <w:szCs w:val="20"/>
        </w:rPr>
        <w:fldChar w:fldCharType="end"/>
      </w:r>
      <w:r>
        <w:rPr>
          <w:rStyle w:val="normaltextrun"/>
          <w:color w:val="000000"/>
          <w:szCs w:val="20"/>
        </w:rPr>
        <w:t xml:space="preserve">. </w:t>
      </w:r>
      <w:r w:rsidRPr="00A75BEC">
        <w:t>The new work</w:t>
      </w:r>
      <w:r w:rsidRPr="00A75BEC">
        <w:rPr>
          <w:rFonts w:eastAsia="PMingLiU"/>
          <w:lang w:eastAsia="zh-TW"/>
        </w:rPr>
        <w:t xml:space="preserve"> item aims to specify the enhancements identified for NR NTN and has the following RAN2 objectives on user plane aspects:</w:t>
      </w:r>
    </w:p>
    <w:p w14:paraId="64D8C9F4" w14:textId="77777777" w:rsidR="00DA1250" w:rsidRPr="00A75BEC" w:rsidRDefault="00DA1250" w:rsidP="00DA1250">
      <w:pPr>
        <w:pStyle w:val="ListParagraph"/>
        <w:numPr>
          <w:ilvl w:val="0"/>
          <w:numId w:val="5"/>
        </w:numPr>
        <w:spacing w:after="200" w:line="276" w:lineRule="auto"/>
        <w:contextualSpacing/>
        <w:rPr>
          <w:rFonts w:ascii="Times New Roman" w:hAnsi="Times New Roman"/>
          <w:szCs w:val="20"/>
        </w:rPr>
      </w:pPr>
      <w:r w:rsidRPr="00A75BEC">
        <w:rPr>
          <w:rFonts w:ascii="Times New Roman" w:hAnsi="Times New Roman"/>
          <w:szCs w:val="20"/>
        </w:rPr>
        <w:t>MAC</w:t>
      </w:r>
    </w:p>
    <w:p w14:paraId="6BC87A58" w14:textId="77777777" w:rsidR="00DA1250" w:rsidRPr="00A75BEC" w:rsidRDefault="00DA1250" w:rsidP="00DA1250">
      <w:pPr>
        <w:pStyle w:val="ListParagraph"/>
        <w:numPr>
          <w:ilvl w:val="1"/>
          <w:numId w:val="5"/>
        </w:numPr>
        <w:spacing w:after="200" w:line="276" w:lineRule="auto"/>
        <w:contextualSpacing/>
        <w:rPr>
          <w:rFonts w:ascii="Times New Roman" w:hAnsi="Times New Roman"/>
          <w:szCs w:val="20"/>
        </w:rPr>
      </w:pPr>
      <w:r w:rsidRPr="00A75BEC">
        <w:rPr>
          <w:rFonts w:ascii="Times New Roman" w:hAnsi="Times New Roman"/>
          <w:szCs w:val="20"/>
        </w:rPr>
        <w:t>Random access:</w:t>
      </w:r>
    </w:p>
    <w:p w14:paraId="050A779C" w14:textId="77777777" w:rsidR="00DA1250" w:rsidRPr="00A75BEC" w:rsidRDefault="00DA1250" w:rsidP="00DA1250">
      <w:pPr>
        <w:pStyle w:val="ListParagraph"/>
        <w:numPr>
          <w:ilvl w:val="2"/>
          <w:numId w:val="5"/>
        </w:numPr>
        <w:spacing w:after="200" w:line="276" w:lineRule="auto"/>
        <w:contextualSpacing/>
        <w:rPr>
          <w:rFonts w:ascii="Times New Roman" w:hAnsi="Times New Roman"/>
          <w:szCs w:val="20"/>
        </w:rPr>
      </w:pPr>
      <w:r w:rsidRPr="00A75BEC">
        <w:rPr>
          <w:rFonts w:ascii="Times New Roman" w:hAnsi="Times New Roman"/>
          <w:szCs w:val="20"/>
        </w:rPr>
        <w:t>Definition of an offset for the start of the ra-ResponseWindow for NTN.</w:t>
      </w:r>
    </w:p>
    <w:p w14:paraId="7D9B560A" w14:textId="77777777" w:rsidR="00DA1250" w:rsidRPr="00A75BEC" w:rsidRDefault="00DA1250" w:rsidP="00DA1250">
      <w:pPr>
        <w:pStyle w:val="ListParagraph"/>
        <w:numPr>
          <w:ilvl w:val="2"/>
          <w:numId w:val="5"/>
        </w:numPr>
        <w:spacing w:after="200" w:line="276" w:lineRule="auto"/>
        <w:contextualSpacing/>
        <w:rPr>
          <w:rFonts w:ascii="Times New Roman" w:hAnsi="Times New Roman"/>
          <w:szCs w:val="20"/>
        </w:rPr>
      </w:pPr>
      <w:r w:rsidRPr="00A75BEC">
        <w:rPr>
          <w:rFonts w:ascii="Times New Roman" w:hAnsi="Times New Roman"/>
          <w:szCs w:val="20"/>
        </w:rPr>
        <w:t>Introduction of an offset for the start of the ra-ContentionResolutionTimer to resolve Random access contention</w:t>
      </w:r>
    </w:p>
    <w:p w14:paraId="4B40AA94" w14:textId="77777777" w:rsidR="00DA1250" w:rsidRPr="00A75BEC" w:rsidRDefault="00DA1250" w:rsidP="00DA1250">
      <w:pPr>
        <w:pStyle w:val="ListParagraph"/>
        <w:numPr>
          <w:ilvl w:val="2"/>
          <w:numId w:val="5"/>
        </w:numPr>
        <w:spacing w:after="200" w:line="276" w:lineRule="auto"/>
        <w:contextualSpacing/>
        <w:rPr>
          <w:rFonts w:ascii="Times New Roman" w:hAnsi="Times New Roman"/>
          <w:szCs w:val="20"/>
        </w:rPr>
      </w:pPr>
      <w:r w:rsidRPr="00A75BEC">
        <w:rPr>
          <w:rFonts w:ascii="Times New Roman" w:hAnsi="Times New Roman"/>
          <w:szCs w:val="20"/>
        </w:rPr>
        <w:t>Solutions for resolving preamble ambiguity and extension of RAR window.</w:t>
      </w:r>
    </w:p>
    <w:p w14:paraId="0ADCCDCE" w14:textId="77777777" w:rsidR="00DA1250" w:rsidRPr="00A75BEC" w:rsidRDefault="00DA1250" w:rsidP="00DA1250">
      <w:pPr>
        <w:pStyle w:val="ListParagraph"/>
        <w:numPr>
          <w:ilvl w:val="2"/>
          <w:numId w:val="5"/>
        </w:numPr>
        <w:spacing w:before="100" w:beforeAutospacing="1" w:after="100" w:afterAutospacing="1" w:line="276" w:lineRule="auto"/>
        <w:contextualSpacing/>
        <w:rPr>
          <w:rFonts w:ascii="Calibri" w:hAnsi="Calibri"/>
          <w:sz w:val="22"/>
        </w:rPr>
      </w:pPr>
      <w:r w:rsidRPr="00A75BEC">
        <w:rPr>
          <w:rFonts w:ascii="Times New Roman" w:hAnsi="Times New Roman"/>
          <w:szCs w:val="20"/>
        </w:rPr>
        <w:t>Adaptation for Msg-3 scheduling</w:t>
      </w:r>
    </w:p>
    <w:p w14:paraId="53D009BD" w14:textId="77777777" w:rsidR="00DA1250" w:rsidRPr="00A75BEC" w:rsidRDefault="00DA1250" w:rsidP="00DA1250">
      <w:pPr>
        <w:pStyle w:val="ListParagraph"/>
        <w:numPr>
          <w:ilvl w:val="3"/>
          <w:numId w:val="5"/>
        </w:numPr>
        <w:spacing w:before="100" w:beforeAutospacing="1" w:after="100" w:afterAutospacing="1" w:line="276" w:lineRule="auto"/>
        <w:contextualSpacing/>
        <w:rPr>
          <w:rFonts w:ascii="Times New Roman" w:hAnsi="Times New Roman"/>
          <w:szCs w:val="20"/>
        </w:rPr>
      </w:pPr>
      <w:r w:rsidRPr="00A75BEC">
        <w:rPr>
          <w:rFonts w:ascii="Times New Roman" w:hAnsi="Times New Roman"/>
          <w:szCs w:val="20"/>
        </w:rPr>
        <w:t>Only for the case with pre-compensation of timing and frequency offset at UE side)</w:t>
      </w:r>
    </w:p>
    <w:p w14:paraId="6F127073" w14:textId="77777777" w:rsidR="00DA1250" w:rsidRPr="00A75BEC" w:rsidRDefault="00DA1250" w:rsidP="00DA1250">
      <w:pPr>
        <w:pStyle w:val="ListParagraph"/>
        <w:numPr>
          <w:ilvl w:val="1"/>
          <w:numId w:val="5"/>
        </w:numPr>
        <w:spacing w:after="200" w:line="254" w:lineRule="auto"/>
        <w:contextualSpacing/>
        <w:rPr>
          <w:rFonts w:ascii="Times New Roman" w:hAnsi="Times New Roman"/>
          <w:szCs w:val="20"/>
        </w:rPr>
      </w:pPr>
      <w:bookmarkStart w:id="1" w:name="_Hlk45617713"/>
      <w:r w:rsidRPr="00A75BEC">
        <w:rPr>
          <w:rFonts w:ascii="Times New Roman" w:hAnsi="Times New Roman"/>
          <w:szCs w:val="20"/>
        </w:rPr>
        <w:t>Enhancement on UL scheduling to reduce scheduling latency</w:t>
      </w:r>
      <w:bookmarkEnd w:id="1"/>
      <w:r w:rsidRPr="00A75BEC">
        <w:rPr>
          <w:rFonts w:ascii="Times New Roman" w:hAnsi="Times New Roman"/>
          <w:szCs w:val="20"/>
        </w:rPr>
        <w:t>.</w:t>
      </w:r>
    </w:p>
    <w:p w14:paraId="3170CEFC" w14:textId="77777777" w:rsidR="00DA1250" w:rsidRPr="00A75BEC" w:rsidRDefault="00DA1250" w:rsidP="00DA1250">
      <w:pPr>
        <w:pStyle w:val="ListParagraph"/>
        <w:numPr>
          <w:ilvl w:val="1"/>
          <w:numId w:val="5"/>
        </w:numPr>
        <w:spacing w:after="200" w:line="254" w:lineRule="auto"/>
        <w:contextualSpacing/>
        <w:rPr>
          <w:rFonts w:ascii="Times New Roman" w:hAnsi="Times New Roman"/>
          <w:szCs w:val="20"/>
        </w:rPr>
      </w:pPr>
      <w:r w:rsidRPr="00A75BEC">
        <w:rPr>
          <w:rFonts w:ascii="Times New Roman" w:hAnsi="Times New Roman"/>
          <w:szCs w:val="20"/>
        </w:rPr>
        <w:t xml:space="preserve">DRX: </w:t>
      </w:r>
    </w:p>
    <w:p w14:paraId="4FC15FE7" w14:textId="77777777" w:rsidR="00DA1250" w:rsidRPr="00A75BEC" w:rsidRDefault="00DA1250" w:rsidP="00DA1250">
      <w:pPr>
        <w:pStyle w:val="ListParagraph"/>
        <w:numPr>
          <w:ilvl w:val="2"/>
          <w:numId w:val="5"/>
        </w:numPr>
        <w:spacing w:after="200" w:line="254" w:lineRule="auto"/>
        <w:contextualSpacing/>
        <w:rPr>
          <w:rFonts w:ascii="Times New Roman" w:hAnsi="Times New Roman"/>
          <w:szCs w:val="20"/>
        </w:rPr>
      </w:pPr>
      <w:r w:rsidRPr="00A75BEC">
        <w:rPr>
          <w:rFonts w:ascii="Times New Roman" w:hAnsi="Times New Roman"/>
          <w:szCs w:val="20"/>
          <w:lang w:eastAsia="fi-FI"/>
        </w:rPr>
        <w:t xml:space="preserve">If HARQ </w:t>
      </w:r>
      <w:r w:rsidRPr="00A75BEC">
        <w:rPr>
          <w:rFonts w:ascii="Times New Roman" w:eastAsia="SimSun" w:hAnsi="Times New Roman"/>
          <w:szCs w:val="20"/>
          <w:lang w:eastAsia="zh-CN"/>
        </w:rPr>
        <w:t>feedback is enabled</w:t>
      </w:r>
      <w:r w:rsidRPr="00A75BEC">
        <w:rPr>
          <w:rFonts w:ascii="Times New Roman" w:hAnsi="Times New Roman"/>
          <w:szCs w:val="20"/>
          <w:lang w:eastAsia="fi-FI"/>
        </w:rPr>
        <w:t xml:space="preserve">, </w:t>
      </w:r>
      <w:r w:rsidRPr="00A75BEC">
        <w:rPr>
          <w:rFonts w:ascii="Times New Roman" w:hAnsi="Times New Roman"/>
          <w:szCs w:val="20"/>
        </w:rPr>
        <w:t xml:space="preserve">introduction of </w:t>
      </w:r>
      <w:r w:rsidRPr="00A75BEC">
        <w:rPr>
          <w:rFonts w:ascii="Times New Roman" w:hAnsi="Times New Roman"/>
          <w:iCs/>
          <w:szCs w:val="20"/>
        </w:rPr>
        <w:t xml:space="preserve">offset for </w:t>
      </w:r>
      <w:r w:rsidRPr="00A75BEC">
        <w:rPr>
          <w:rFonts w:ascii="Times New Roman" w:hAnsi="Times New Roman"/>
          <w:i/>
          <w:iCs/>
          <w:szCs w:val="20"/>
        </w:rPr>
        <w:t xml:space="preserve">drx-HARQ-RTT-TimerDL </w:t>
      </w:r>
      <w:r w:rsidRPr="00A75BEC">
        <w:rPr>
          <w:rFonts w:ascii="Times New Roman" w:hAnsi="Times New Roman"/>
          <w:iCs/>
          <w:szCs w:val="20"/>
        </w:rPr>
        <w:t xml:space="preserve">and </w:t>
      </w:r>
      <w:r w:rsidRPr="00A75BEC">
        <w:rPr>
          <w:rFonts w:ascii="Times New Roman" w:hAnsi="Times New Roman"/>
          <w:i/>
          <w:iCs/>
          <w:szCs w:val="20"/>
        </w:rPr>
        <w:t>drx-HARQ-RTT-TimerUL</w:t>
      </w:r>
      <w:r w:rsidRPr="00A75BEC">
        <w:rPr>
          <w:rFonts w:ascii="Times New Roman" w:hAnsi="Times New Roman"/>
          <w:iCs/>
          <w:szCs w:val="20"/>
        </w:rPr>
        <w:t>.</w:t>
      </w:r>
    </w:p>
    <w:p w14:paraId="48891043" w14:textId="77777777" w:rsidR="00DA1250" w:rsidRPr="00A75BEC" w:rsidRDefault="00DA1250" w:rsidP="00DA1250">
      <w:pPr>
        <w:pStyle w:val="ListParagraph"/>
        <w:numPr>
          <w:ilvl w:val="2"/>
          <w:numId w:val="5"/>
        </w:numPr>
        <w:spacing w:after="200" w:line="254" w:lineRule="auto"/>
        <w:contextualSpacing/>
        <w:rPr>
          <w:rFonts w:ascii="Times New Roman" w:hAnsi="Times New Roman"/>
          <w:szCs w:val="20"/>
        </w:rPr>
      </w:pPr>
      <w:r w:rsidRPr="00A75BEC">
        <w:rPr>
          <w:rFonts w:ascii="Times New Roman" w:hAnsi="Times New Roman"/>
          <w:szCs w:val="20"/>
        </w:rPr>
        <w:t>If HARQ is turned off per HARQ process, adaptions in HARQ procedure</w:t>
      </w:r>
    </w:p>
    <w:p w14:paraId="4D41B108" w14:textId="77777777" w:rsidR="00DA1250" w:rsidRPr="00A75BEC" w:rsidRDefault="00DA1250" w:rsidP="00DA1250">
      <w:pPr>
        <w:pStyle w:val="ListParagraph"/>
        <w:numPr>
          <w:ilvl w:val="1"/>
          <w:numId w:val="5"/>
        </w:numPr>
        <w:spacing w:after="200" w:line="276" w:lineRule="auto"/>
        <w:contextualSpacing/>
        <w:rPr>
          <w:rFonts w:ascii="Times New Roman" w:hAnsi="Times New Roman"/>
          <w:szCs w:val="20"/>
        </w:rPr>
      </w:pPr>
      <w:r w:rsidRPr="00A75BEC">
        <w:rPr>
          <w:rFonts w:ascii="Times New Roman" w:hAnsi="Times New Roman"/>
          <w:szCs w:val="20"/>
        </w:rPr>
        <w:t xml:space="preserve">Scheduling Request: Extension of the value range of </w:t>
      </w:r>
      <w:r w:rsidRPr="00A75BEC">
        <w:rPr>
          <w:rFonts w:ascii="Times New Roman" w:hAnsi="Times New Roman"/>
          <w:i/>
          <w:szCs w:val="20"/>
        </w:rPr>
        <w:t xml:space="preserve">sr-ProhibitTimer </w:t>
      </w:r>
    </w:p>
    <w:p w14:paraId="6C315FD0" w14:textId="77777777" w:rsidR="00DA1250" w:rsidRPr="00A75BEC" w:rsidRDefault="00DA1250" w:rsidP="00DA1250">
      <w:pPr>
        <w:pStyle w:val="ListParagraph"/>
        <w:numPr>
          <w:ilvl w:val="0"/>
          <w:numId w:val="5"/>
        </w:numPr>
        <w:spacing w:after="200" w:line="276" w:lineRule="auto"/>
        <w:contextualSpacing/>
        <w:rPr>
          <w:rFonts w:ascii="Times New Roman" w:hAnsi="Times New Roman"/>
          <w:szCs w:val="20"/>
        </w:rPr>
      </w:pPr>
      <w:r w:rsidRPr="00A75BEC">
        <w:rPr>
          <w:rFonts w:ascii="Times New Roman" w:hAnsi="Times New Roman"/>
          <w:szCs w:val="20"/>
        </w:rPr>
        <w:t>RLC</w:t>
      </w:r>
    </w:p>
    <w:p w14:paraId="3D359B95" w14:textId="77777777" w:rsidR="00DA1250" w:rsidRPr="00A75BEC" w:rsidRDefault="00DA1250" w:rsidP="00DA1250">
      <w:pPr>
        <w:pStyle w:val="ListParagraph"/>
        <w:numPr>
          <w:ilvl w:val="1"/>
          <w:numId w:val="5"/>
        </w:numPr>
        <w:spacing w:after="200" w:line="276" w:lineRule="auto"/>
        <w:contextualSpacing/>
        <w:rPr>
          <w:rFonts w:ascii="Times New Roman" w:hAnsi="Times New Roman"/>
          <w:szCs w:val="20"/>
        </w:rPr>
      </w:pPr>
      <w:r w:rsidRPr="00A75BEC">
        <w:rPr>
          <w:rFonts w:ascii="Times New Roman" w:hAnsi="Times New Roman"/>
          <w:szCs w:val="20"/>
        </w:rPr>
        <w:t xml:space="preserve">Status reporting: Extension of the value range of </w:t>
      </w:r>
      <w:r w:rsidRPr="00A75BEC">
        <w:rPr>
          <w:rFonts w:ascii="Times New Roman" w:hAnsi="Times New Roman"/>
          <w:i/>
          <w:szCs w:val="20"/>
        </w:rPr>
        <w:t>t-Reassembly</w:t>
      </w:r>
    </w:p>
    <w:p w14:paraId="4C9E880F" w14:textId="77777777" w:rsidR="00DA1250" w:rsidRPr="00A75BEC" w:rsidRDefault="00DA1250" w:rsidP="00DA1250">
      <w:pPr>
        <w:pStyle w:val="ListParagraph"/>
        <w:numPr>
          <w:ilvl w:val="1"/>
          <w:numId w:val="5"/>
        </w:numPr>
        <w:spacing w:after="200" w:line="276" w:lineRule="auto"/>
        <w:contextualSpacing/>
        <w:rPr>
          <w:rFonts w:ascii="Times New Roman" w:hAnsi="Times New Roman"/>
          <w:szCs w:val="20"/>
        </w:rPr>
      </w:pPr>
      <w:r w:rsidRPr="00A75BEC">
        <w:rPr>
          <w:rFonts w:ascii="Times New Roman" w:hAnsi="Times New Roman"/>
          <w:szCs w:val="20"/>
        </w:rPr>
        <w:t xml:space="preserve">Sequence Numbers: extension of the SN space only for GEO scenarios </w:t>
      </w:r>
    </w:p>
    <w:p w14:paraId="78D6749F" w14:textId="77777777" w:rsidR="00DA1250" w:rsidRPr="00A75BEC" w:rsidRDefault="00DA1250" w:rsidP="00DA1250">
      <w:pPr>
        <w:pStyle w:val="ListParagraph"/>
        <w:numPr>
          <w:ilvl w:val="0"/>
          <w:numId w:val="5"/>
        </w:numPr>
        <w:spacing w:after="200" w:line="276" w:lineRule="auto"/>
        <w:contextualSpacing/>
        <w:rPr>
          <w:rFonts w:ascii="Times New Roman" w:hAnsi="Times New Roman"/>
          <w:szCs w:val="20"/>
        </w:rPr>
      </w:pPr>
      <w:r w:rsidRPr="00A75BEC">
        <w:rPr>
          <w:rFonts w:ascii="Times New Roman" w:hAnsi="Times New Roman"/>
          <w:szCs w:val="20"/>
        </w:rPr>
        <w:t>PDCP</w:t>
      </w:r>
    </w:p>
    <w:p w14:paraId="5644FB69" w14:textId="77777777" w:rsidR="00DA1250" w:rsidRPr="00A75BEC" w:rsidRDefault="00DA1250" w:rsidP="00DA1250">
      <w:pPr>
        <w:pStyle w:val="ListParagraph"/>
        <w:numPr>
          <w:ilvl w:val="1"/>
          <w:numId w:val="5"/>
        </w:numPr>
        <w:spacing w:after="200" w:line="276" w:lineRule="auto"/>
        <w:contextualSpacing/>
        <w:rPr>
          <w:rFonts w:ascii="Times New Roman" w:hAnsi="Times New Roman"/>
          <w:szCs w:val="20"/>
        </w:rPr>
      </w:pPr>
      <w:r w:rsidRPr="00A75BEC">
        <w:rPr>
          <w:rFonts w:ascii="Times New Roman" w:hAnsi="Times New Roman"/>
          <w:szCs w:val="20"/>
        </w:rPr>
        <w:t>SDU discard: Extension of t</w:t>
      </w:r>
      <w:r w:rsidRPr="00A75BEC">
        <w:rPr>
          <w:rFonts w:ascii="Times New Roman" w:hAnsi="Times New Roman"/>
          <w:szCs w:val="20"/>
          <w:lang w:eastAsia="ja-JP"/>
        </w:rPr>
        <w:t xml:space="preserve">he value range of </w:t>
      </w:r>
      <w:r w:rsidRPr="00A75BEC">
        <w:rPr>
          <w:rFonts w:ascii="Times New Roman" w:hAnsi="Times New Roman"/>
          <w:i/>
          <w:szCs w:val="20"/>
          <w:lang w:eastAsia="ja-JP"/>
        </w:rPr>
        <w:t>discardTimer</w:t>
      </w:r>
      <w:r w:rsidRPr="00A75BEC">
        <w:rPr>
          <w:rFonts w:ascii="Times New Roman" w:hAnsi="Times New Roman"/>
          <w:szCs w:val="20"/>
        </w:rPr>
        <w:t>.</w:t>
      </w:r>
    </w:p>
    <w:p w14:paraId="2F6DCA88" w14:textId="77777777" w:rsidR="00DA1250" w:rsidRPr="00A75BEC" w:rsidRDefault="00DA1250" w:rsidP="00DA1250">
      <w:pPr>
        <w:pStyle w:val="ListParagraph"/>
        <w:numPr>
          <w:ilvl w:val="1"/>
          <w:numId w:val="5"/>
        </w:numPr>
        <w:spacing w:after="200" w:line="276" w:lineRule="auto"/>
        <w:contextualSpacing/>
        <w:rPr>
          <w:rFonts w:ascii="Times New Roman" w:hAnsi="Times New Roman"/>
          <w:szCs w:val="20"/>
        </w:rPr>
      </w:pPr>
      <w:r w:rsidRPr="00A75BEC">
        <w:rPr>
          <w:rFonts w:ascii="Times New Roman" w:hAnsi="Times New Roman"/>
          <w:szCs w:val="20"/>
        </w:rPr>
        <w:t>Sequence Numbers: extension of the SN space for GEO scenarios.</w:t>
      </w:r>
    </w:p>
    <w:p w14:paraId="21FF7FA7" w14:textId="34A4F04A" w:rsidR="00DA1250" w:rsidRPr="00A75BEC" w:rsidRDefault="00DA1250" w:rsidP="00DA1250">
      <w:r w:rsidRPr="00A75BEC">
        <w:t xml:space="preserve">In this paper, we discuss TA </w:t>
      </w:r>
      <w:r w:rsidR="00A70025">
        <w:t>reporting</w:t>
      </w:r>
      <w:r w:rsidRPr="00A75BEC">
        <w:t xml:space="preserve"> </w:t>
      </w:r>
      <w:r w:rsidR="009A285E">
        <w:t>in</w:t>
      </w:r>
      <w:r w:rsidRPr="00A75BEC">
        <w:t xml:space="preserve"> NTN.</w:t>
      </w:r>
    </w:p>
    <w:p w14:paraId="261690C3" w14:textId="77777777" w:rsidR="00CE7D53" w:rsidRPr="00DF7AED" w:rsidRDefault="00CE7D53" w:rsidP="00D40FD0">
      <w:pPr>
        <w:rPr>
          <w:strike/>
        </w:rPr>
      </w:pPr>
    </w:p>
    <w:p w14:paraId="2DCB0B9C" w14:textId="01B8C852" w:rsidR="003E20E7" w:rsidRDefault="003E20E7" w:rsidP="00B14DE3">
      <w:pPr>
        <w:pStyle w:val="Heading1"/>
      </w:pPr>
      <w:r>
        <w:lastRenderedPageBreak/>
        <w:t xml:space="preserve">The </w:t>
      </w:r>
      <w:r w:rsidR="007528D0">
        <w:t xml:space="preserve">UE specific </w:t>
      </w:r>
      <w:r w:rsidR="00A57B02">
        <w:t>Timing Advance</w:t>
      </w:r>
      <w:r w:rsidR="007528D0">
        <w:t xml:space="preserve"> </w:t>
      </w:r>
      <w:r>
        <w:t xml:space="preserve">MAC CE </w:t>
      </w:r>
    </w:p>
    <w:p w14:paraId="6B7A6EF6" w14:textId="2A9B95B5" w:rsidR="00B14DE3" w:rsidRDefault="00B14DE3" w:rsidP="003E20E7">
      <w:pPr>
        <w:pStyle w:val="Heading2"/>
      </w:pPr>
      <w:r>
        <w:t xml:space="preserve">Modelling the new MAC CE in the MAC spec </w:t>
      </w:r>
    </w:p>
    <w:p w14:paraId="38EBF63D" w14:textId="7DFDF0A6" w:rsidR="00B14DE3" w:rsidRDefault="00B14DE3" w:rsidP="00B14DE3">
      <w:pPr>
        <w:rPr>
          <w:lang w:eastAsia="zh-CN"/>
        </w:rPr>
      </w:pPr>
      <w:r>
        <w:rPr>
          <w:lang w:eastAsia="zh-CN"/>
        </w:rPr>
        <w:t xml:space="preserve">We note that in the running CR </w:t>
      </w:r>
      <w:r>
        <w:rPr>
          <w:lang w:eastAsia="zh-CN"/>
        </w:rPr>
        <w:fldChar w:fldCharType="begin"/>
      </w:r>
      <w:r>
        <w:rPr>
          <w:lang w:eastAsia="zh-CN"/>
        </w:rPr>
        <w:instrText xml:space="preserve"> REF _Ref90933300 \r \h </w:instrText>
      </w:r>
      <w:r>
        <w:rPr>
          <w:lang w:eastAsia="zh-CN"/>
        </w:rPr>
      </w:r>
      <w:r>
        <w:rPr>
          <w:lang w:eastAsia="zh-CN"/>
        </w:rPr>
        <w:fldChar w:fldCharType="separate"/>
      </w:r>
      <w:r w:rsidR="003908C9">
        <w:rPr>
          <w:lang w:eastAsia="zh-CN"/>
        </w:rPr>
        <w:t>[3]</w:t>
      </w:r>
      <w:r>
        <w:rPr>
          <w:lang w:eastAsia="zh-CN"/>
        </w:rPr>
        <w:fldChar w:fldCharType="end"/>
      </w:r>
      <w:r>
        <w:rPr>
          <w:lang w:eastAsia="zh-CN"/>
        </w:rPr>
        <w:t xml:space="preserve">, the new MAC CE has impact in 5.1.3a, 5.1.4, 5.4.3.1.3 and the new section 5.XX. Further we note that the new MAC CE is in many ways similar to the BSR and PHR MAC CEs, and the description in 5.XX can be written similar to the BSR or PHR section without the need to affect the section 5.1.3a nor 5.1.4. </w:t>
      </w:r>
      <w:r w:rsidR="00181A4B">
        <w:rPr>
          <w:lang w:eastAsia="zh-CN"/>
        </w:rPr>
        <w:t xml:space="preserve">This will make the spec easier to read, as someone not interested in NTNs (do they exist?!) will not need to decipher addition due to NTN in 5.1.3a and 5.1.4. Further, it makes it very simple to introduce triggering of SR for this new MAC CE, if RAN2 decides to do that. </w:t>
      </w:r>
    </w:p>
    <w:p w14:paraId="14D9F3E7" w14:textId="034CFADF" w:rsidR="00181A4B" w:rsidRPr="00181A4B" w:rsidRDefault="00181A4B" w:rsidP="00181A4B">
      <w:pPr>
        <w:pStyle w:val="Proposal"/>
        <w:rPr>
          <w:rFonts w:cs="Arial"/>
          <w:lang w:eastAsia="en-US"/>
        </w:rPr>
      </w:pPr>
      <w:bookmarkStart w:id="2" w:name="_Toc90942500"/>
      <w:bookmarkStart w:id="3" w:name="_Toc90942514"/>
      <w:bookmarkStart w:id="4" w:name="_Toc90942703"/>
      <w:bookmarkStart w:id="5" w:name="_Toc90942717"/>
      <w:bookmarkStart w:id="6" w:name="_Toc91169130"/>
      <w:bookmarkStart w:id="7" w:name="_Toc91169144"/>
      <w:bookmarkStart w:id="8" w:name="_Toc91170895"/>
      <w:bookmarkStart w:id="9" w:name="_Toc91170910"/>
      <w:bookmarkStart w:id="10" w:name="_Toc91173313"/>
      <w:bookmarkStart w:id="11" w:name="_Toc91173328"/>
      <w:bookmarkStart w:id="12" w:name="_Toc91173704"/>
      <w:bookmarkStart w:id="13" w:name="_Toc91173719"/>
      <w:bookmarkStart w:id="14" w:name="_Toc91174019"/>
      <w:bookmarkStart w:id="15" w:name="_Toc91174034"/>
      <w:bookmarkStart w:id="16" w:name="_Toc91174531"/>
      <w:bookmarkStart w:id="17" w:name="_Toc91174547"/>
      <w:bookmarkStart w:id="18" w:name="_Toc91174779"/>
      <w:bookmarkStart w:id="19" w:name="_Toc91174796"/>
      <w:bookmarkStart w:id="20" w:name="_Toc91175163"/>
      <w:bookmarkStart w:id="21" w:name="_Toc91175180"/>
      <w:bookmarkStart w:id="22" w:name="_Toc91176421"/>
      <w:bookmarkStart w:id="23" w:name="_Toc91176444"/>
      <w:bookmarkStart w:id="24" w:name="_Toc91176617"/>
      <w:bookmarkStart w:id="25" w:name="_Toc91176640"/>
      <w:bookmarkStart w:id="26" w:name="_Toc91176797"/>
      <w:bookmarkStart w:id="27" w:name="_Toc91176820"/>
      <w:bookmarkStart w:id="28" w:name="_Toc92744019"/>
      <w:bookmarkStart w:id="29" w:name="_Toc92744043"/>
      <w:bookmarkStart w:id="30" w:name="_Toc92745090"/>
      <w:bookmarkStart w:id="31" w:name="_Toc92745116"/>
      <w:bookmarkStart w:id="32" w:name="_Toc92787219"/>
      <w:bookmarkStart w:id="33" w:name="_Toc92787245"/>
      <w:bookmarkStart w:id="34" w:name="_Toc92794755"/>
      <w:bookmarkStart w:id="35" w:name="_Toc92794781"/>
      <w:bookmarkStart w:id="36" w:name="_Toc92797842"/>
      <w:bookmarkStart w:id="37" w:name="_Toc92797868"/>
      <w:bookmarkStart w:id="38" w:name="_Toc92797906"/>
      <w:bookmarkStart w:id="39" w:name="_Toc92797929"/>
      <w:bookmarkStart w:id="40" w:name="_Toc92797984"/>
      <w:bookmarkStart w:id="41" w:name="_Toc92798007"/>
      <w:r>
        <w:t>Consider making the new section 5.XX into a subsection of 5.4 and remove the new MAC CE triggering in 5.1.3a and 5.1.4.</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t xml:space="preserve"> </w:t>
      </w:r>
    </w:p>
    <w:p w14:paraId="293C40F6" w14:textId="7648874A" w:rsidR="00181A4B" w:rsidRPr="00181A4B" w:rsidRDefault="00181A4B" w:rsidP="00AD29F9">
      <w:pPr>
        <w:pStyle w:val="Proposal"/>
        <w:jc w:val="left"/>
        <w:rPr>
          <w:rFonts w:cs="Arial"/>
          <w:lang w:eastAsia="en-US"/>
        </w:rPr>
      </w:pPr>
      <w:bookmarkStart w:id="42" w:name="_Toc90942501"/>
      <w:bookmarkStart w:id="43" w:name="_Toc90942515"/>
      <w:bookmarkStart w:id="44" w:name="_Toc90942704"/>
      <w:bookmarkStart w:id="45" w:name="_Toc90942718"/>
      <w:bookmarkStart w:id="46" w:name="_Toc91169131"/>
      <w:bookmarkStart w:id="47" w:name="_Toc91169145"/>
      <w:bookmarkStart w:id="48" w:name="_Toc91170896"/>
      <w:bookmarkStart w:id="49" w:name="_Toc91170911"/>
      <w:bookmarkStart w:id="50" w:name="_Toc91173314"/>
      <w:bookmarkStart w:id="51" w:name="_Toc91173329"/>
      <w:bookmarkStart w:id="52" w:name="_Toc91173705"/>
      <w:bookmarkStart w:id="53" w:name="_Toc91173720"/>
      <w:bookmarkStart w:id="54" w:name="_Toc91174020"/>
      <w:bookmarkStart w:id="55" w:name="_Toc91174035"/>
      <w:bookmarkStart w:id="56" w:name="_Toc91174532"/>
      <w:bookmarkStart w:id="57" w:name="_Toc91174548"/>
      <w:bookmarkStart w:id="58" w:name="_Toc91174780"/>
      <w:bookmarkStart w:id="59" w:name="_Toc91174797"/>
      <w:bookmarkStart w:id="60" w:name="_Toc91175164"/>
      <w:bookmarkStart w:id="61" w:name="_Toc91175181"/>
      <w:bookmarkStart w:id="62" w:name="_Toc91176422"/>
      <w:bookmarkStart w:id="63" w:name="_Toc91176445"/>
      <w:bookmarkStart w:id="64" w:name="_Toc91176618"/>
      <w:bookmarkStart w:id="65" w:name="_Toc91176641"/>
      <w:bookmarkStart w:id="66" w:name="_Toc91176798"/>
      <w:bookmarkStart w:id="67" w:name="_Toc91176821"/>
      <w:bookmarkStart w:id="68" w:name="_Toc92744020"/>
      <w:bookmarkStart w:id="69" w:name="_Toc92744044"/>
      <w:bookmarkStart w:id="70" w:name="_Toc92745091"/>
      <w:bookmarkStart w:id="71" w:name="_Toc92745117"/>
      <w:bookmarkStart w:id="72" w:name="_Toc92787220"/>
      <w:bookmarkStart w:id="73" w:name="_Toc92787246"/>
      <w:bookmarkStart w:id="74" w:name="_Toc92794756"/>
      <w:bookmarkStart w:id="75" w:name="_Toc92794782"/>
      <w:bookmarkStart w:id="76" w:name="_Toc92797843"/>
      <w:bookmarkStart w:id="77" w:name="_Toc92797869"/>
      <w:bookmarkStart w:id="78" w:name="_Toc92797907"/>
      <w:bookmarkStart w:id="79" w:name="_Toc92797930"/>
      <w:bookmarkStart w:id="80" w:name="_Toc92797985"/>
      <w:bookmarkStart w:id="81" w:name="_Toc92798008"/>
      <w:r>
        <w:t>Consider the following text proposal for the section 5.4.XX</w:t>
      </w:r>
      <w:bookmarkEnd w:id="42"/>
      <w:bookmarkEnd w:id="43"/>
      <w:bookmarkEnd w:id="44"/>
      <w:bookmarkEnd w:id="45"/>
      <w:r w:rsidR="00CE7D53">
        <w:t>:</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D8D5E88" w14:textId="4D72D1C0" w:rsidR="00CE7D53" w:rsidRPr="00CE7D53" w:rsidRDefault="00CE7D53" w:rsidP="00764377">
      <w:pPr>
        <w:pStyle w:val="Heading3"/>
        <w:ind w:left="2438" w:hanging="1134"/>
        <w:rPr>
          <w:rFonts w:cs="Times New Roman"/>
          <w:szCs w:val="20"/>
          <w:lang w:eastAsia="ko-KR"/>
        </w:rPr>
      </w:pPr>
      <w:r w:rsidRPr="00CE7D53">
        <w:rPr>
          <w:rFonts w:cs="Times New Roman"/>
          <w:szCs w:val="20"/>
          <w:lang w:eastAsia="ko-KR"/>
        </w:rPr>
        <w:t>5.4.XX</w:t>
      </w:r>
      <w:r>
        <w:rPr>
          <w:rFonts w:cs="Times New Roman"/>
          <w:szCs w:val="20"/>
          <w:lang w:eastAsia="ko-KR"/>
        </w:rPr>
        <w:tab/>
      </w:r>
      <w:r w:rsidRPr="00CE7D53">
        <w:rPr>
          <w:rFonts w:cs="Times New Roman"/>
          <w:szCs w:val="20"/>
          <w:lang w:eastAsia="ko-KR"/>
        </w:rPr>
        <w:t>UE-Specific TA reporting</w:t>
      </w:r>
    </w:p>
    <w:p w14:paraId="0617B4FA" w14:textId="55F6A44F" w:rsidR="00CE7D53" w:rsidRDefault="00CE7D53" w:rsidP="00764377">
      <w:pPr>
        <w:overflowPunct w:val="0"/>
        <w:autoSpaceDE w:val="0"/>
        <w:autoSpaceDN w:val="0"/>
        <w:adjustRightInd w:val="0"/>
        <w:spacing w:after="180" w:line="240" w:lineRule="auto"/>
        <w:ind w:left="1304"/>
        <w:textAlignment w:val="baseline"/>
        <w:rPr>
          <w:rFonts w:ascii="Times New Roman" w:eastAsia="Times New Roman" w:hAnsi="Times New Roman" w:cs="Times New Roman"/>
          <w:noProof/>
          <w:szCs w:val="20"/>
          <w:lang w:eastAsia="ja-JP"/>
        </w:rPr>
      </w:pPr>
      <w:r w:rsidRPr="00CE7D53">
        <w:rPr>
          <w:rFonts w:ascii="Times New Roman" w:eastAsia="Times New Roman" w:hAnsi="Times New Roman" w:cs="Times New Roman"/>
          <w:noProof/>
          <w:szCs w:val="20"/>
          <w:lang w:eastAsia="ja-JP"/>
        </w:rPr>
        <w:t xml:space="preserve">The UE specific TA report (UTR) procedure is used to provide the serving gNB with information about the UE specific TA pre-compensation. </w:t>
      </w:r>
    </w:p>
    <w:p w14:paraId="6A5E829F" w14:textId="77777777" w:rsidR="00CE7D53" w:rsidRDefault="00CE7D53" w:rsidP="00764377">
      <w:pPr>
        <w:overflowPunct w:val="0"/>
        <w:autoSpaceDE w:val="0"/>
        <w:autoSpaceDN w:val="0"/>
        <w:adjustRightInd w:val="0"/>
        <w:spacing w:after="180" w:line="240" w:lineRule="auto"/>
        <w:ind w:left="1304"/>
        <w:textAlignment w:val="baseline"/>
        <w:rPr>
          <w:rFonts w:ascii="Times New Roman" w:eastAsia="Times New Roman" w:hAnsi="Times New Roman" w:cs="Times New Roman"/>
          <w:noProof/>
          <w:szCs w:val="20"/>
          <w:lang w:eastAsia="ja-JP"/>
        </w:rPr>
      </w:pPr>
      <w:r w:rsidRPr="00CE7D53">
        <w:rPr>
          <w:rFonts w:ascii="Times New Roman" w:eastAsia="Times New Roman" w:hAnsi="Times New Roman" w:cs="Times New Roman"/>
          <w:noProof/>
          <w:szCs w:val="20"/>
          <w:lang w:eastAsia="ja-JP"/>
        </w:rPr>
        <w:t>RRC configures the following parameter to control the UTR:</w:t>
      </w:r>
    </w:p>
    <w:p w14:paraId="307D03F3" w14:textId="1FD3376C" w:rsidR="00CE7D53" w:rsidRDefault="00CE7D53" w:rsidP="00764377">
      <w:pPr>
        <w:pStyle w:val="B1"/>
        <w:spacing w:after="180"/>
        <w:ind w:left="1872"/>
        <w:jc w:val="left"/>
        <w:rPr>
          <w:noProof/>
          <w:lang w:eastAsia="ja-JP"/>
        </w:rPr>
      </w:pPr>
      <w:r w:rsidRPr="00CE7D53">
        <w:rPr>
          <w:noProof/>
          <w:lang w:eastAsia="ja-JP"/>
        </w:rPr>
        <w:t>-</w:t>
      </w:r>
      <w:r w:rsidRPr="007B2F77">
        <w:rPr>
          <w:lang w:eastAsia="ko-KR"/>
        </w:rPr>
        <w:tab/>
      </w:r>
      <w:r w:rsidRPr="00CE7D53">
        <w:rPr>
          <w:noProof/>
          <w:lang w:eastAsia="ja-JP"/>
        </w:rPr>
        <w:t>enableTA-Report.</w:t>
      </w:r>
    </w:p>
    <w:p w14:paraId="3E74B839" w14:textId="77777777" w:rsidR="00CE7D53" w:rsidRDefault="00CE7D53" w:rsidP="00764377">
      <w:pPr>
        <w:overflowPunct w:val="0"/>
        <w:autoSpaceDE w:val="0"/>
        <w:autoSpaceDN w:val="0"/>
        <w:adjustRightInd w:val="0"/>
        <w:spacing w:after="180" w:line="240" w:lineRule="auto"/>
        <w:ind w:left="1304"/>
        <w:textAlignment w:val="baseline"/>
        <w:rPr>
          <w:rFonts w:ascii="Times New Roman" w:eastAsia="Times New Roman" w:hAnsi="Times New Roman" w:cs="Times New Roman"/>
          <w:noProof/>
          <w:szCs w:val="20"/>
          <w:lang w:eastAsia="ja-JP"/>
        </w:rPr>
      </w:pPr>
      <w:r w:rsidRPr="00CE7D53">
        <w:rPr>
          <w:rFonts w:ascii="Times New Roman" w:eastAsia="Times New Roman" w:hAnsi="Times New Roman" w:cs="Times New Roman"/>
          <w:noProof/>
          <w:szCs w:val="20"/>
          <w:lang w:eastAsia="ja-JP"/>
        </w:rPr>
        <w:t>A UTR shall be triggered if any of the following events occur:</w:t>
      </w:r>
    </w:p>
    <w:p w14:paraId="60A4697B" w14:textId="0539D61D" w:rsidR="00CE7D53" w:rsidRDefault="00CE7D53" w:rsidP="00764377">
      <w:pPr>
        <w:pStyle w:val="B1"/>
        <w:spacing w:after="180"/>
        <w:ind w:left="1872"/>
        <w:jc w:val="left"/>
        <w:rPr>
          <w:noProof/>
          <w:lang w:eastAsia="ja-JP"/>
        </w:rPr>
      </w:pPr>
      <w:r w:rsidRPr="00CE7D53">
        <w:rPr>
          <w:noProof/>
          <w:lang w:eastAsia="ja-JP"/>
        </w:rPr>
        <w:t>-</w:t>
      </w:r>
      <w:r w:rsidRPr="007B2F77">
        <w:rPr>
          <w:lang w:eastAsia="ko-KR"/>
        </w:rPr>
        <w:tab/>
      </w:r>
      <w:r w:rsidRPr="00CE7D53">
        <w:rPr>
          <w:noProof/>
          <w:lang w:eastAsia="ja-JP"/>
        </w:rPr>
        <w:t>The UE, while it is not in RRC CONNECTED mode, initiates a RA procedure that is not for SI request and enableTA-Report is configured to true</w:t>
      </w:r>
    </w:p>
    <w:p w14:paraId="2533841E" w14:textId="0AA183C2" w:rsidR="007B7828" w:rsidRDefault="007B7828" w:rsidP="007B7828">
      <w:pPr>
        <w:pStyle w:val="EditorsNote"/>
        <w:rPr>
          <w:lang w:eastAsia="ko-KR"/>
        </w:rPr>
      </w:pPr>
      <w:r>
        <w:rPr>
          <w:lang w:eastAsia="ko-KR"/>
        </w:rPr>
        <w:t xml:space="preserve">Editor’s note: </w:t>
      </w:r>
      <w:r w:rsidR="002C360E">
        <w:rPr>
          <w:lang w:eastAsia="ko-KR"/>
        </w:rPr>
        <w:t>FFS t</w:t>
      </w:r>
      <w:r>
        <w:rPr>
          <w:lang w:eastAsia="ko-KR"/>
        </w:rPr>
        <w:t>he triggered event reporting condition can be added to the list above similar to the different reasons for BSR triggers.</w:t>
      </w:r>
    </w:p>
    <w:p w14:paraId="1A10DEC4" w14:textId="77777777" w:rsidR="00CE7D53" w:rsidRDefault="00CE7D53" w:rsidP="00764377">
      <w:pPr>
        <w:overflowPunct w:val="0"/>
        <w:autoSpaceDE w:val="0"/>
        <w:autoSpaceDN w:val="0"/>
        <w:adjustRightInd w:val="0"/>
        <w:spacing w:after="180" w:line="240" w:lineRule="auto"/>
        <w:ind w:left="1304"/>
        <w:textAlignment w:val="baseline"/>
        <w:rPr>
          <w:rFonts w:ascii="Times New Roman" w:eastAsia="Times New Roman" w:hAnsi="Times New Roman" w:cs="Times New Roman"/>
          <w:noProof/>
          <w:szCs w:val="20"/>
          <w:lang w:eastAsia="ja-JP"/>
        </w:rPr>
      </w:pPr>
      <w:r w:rsidRPr="00CE7D53">
        <w:rPr>
          <w:rFonts w:ascii="Times New Roman" w:eastAsia="Times New Roman" w:hAnsi="Times New Roman" w:cs="Times New Roman"/>
          <w:noProof/>
          <w:szCs w:val="20"/>
          <w:lang w:eastAsia="ja-JP"/>
        </w:rPr>
        <w:t xml:space="preserve">The MAC entity shall: </w:t>
      </w:r>
    </w:p>
    <w:p w14:paraId="4F039BF1" w14:textId="6089A85C" w:rsidR="00CE7D53" w:rsidRDefault="00CE7D53" w:rsidP="00764377">
      <w:pPr>
        <w:pStyle w:val="B1"/>
        <w:spacing w:after="180"/>
        <w:ind w:left="1872"/>
        <w:jc w:val="left"/>
        <w:rPr>
          <w:noProof/>
          <w:lang w:eastAsia="ja-JP"/>
        </w:rPr>
      </w:pPr>
      <w:r>
        <w:rPr>
          <w:noProof/>
          <w:lang w:eastAsia="ko-KR"/>
        </w:rPr>
        <w:t>1</w:t>
      </w:r>
      <w:r w:rsidRPr="007B2F77">
        <w:rPr>
          <w:noProof/>
          <w:lang w:eastAsia="ko-KR"/>
        </w:rPr>
        <w:t>&gt;</w:t>
      </w:r>
      <w:r w:rsidRPr="007B2F77">
        <w:rPr>
          <w:noProof/>
        </w:rPr>
        <w:tab/>
      </w:r>
      <w:r w:rsidRPr="00CE7D53">
        <w:rPr>
          <w:noProof/>
          <w:lang w:eastAsia="ja-JP"/>
        </w:rPr>
        <w:t>if the UE specific TA reporting procedure determines that at least one UTR has been triggered and not cancelled:</w:t>
      </w:r>
    </w:p>
    <w:p w14:paraId="2A4E0206" w14:textId="046C25BF" w:rsidR="00CE7D53" w:rsidRPr="007B2F77" w:rsidRDefault="00CE7D53" w:rsidP="00764377">
      <w:pPr>
        <w:pStyle w:val="B2"/>
        <w:ind w:left="2155"/>
        <w:rPr>
          <w:noProof/>
          <w:lang w:eastAsia="en-US"/>
        </w:rPr>
      </w:pPr>
      <w:r w:rsidRPr="007B2F77">
        <w:rPr>
          <w:noProof/>
          <w:lang w:eastAsia="ko-KR"/>
        </w:rPr>
        <w:t>2&gt;</w:t>
      </w:r>
      <w:r w:rsidRPr="007B2F77">
        <w:rPr>
          <w:noProof/>
          <w:lang w:eastAsia="ko-KR"/>
        </w:rPr>
        <w:tab/>
      </w:r>
      <w:r w:rsidRPr="00CE7D53">
        <w:rPr>
          <w:noProof/>
        </w:rPr>
        <w:t>if UL-SCH resources are available for a new transmission and the UL-SCH resources can accommodate the UTR MAC CE plus its subheader as a result of logical channel prioritization:</w:t>
      </w:r>
    </w:p>
    <w:p w14:paraId="59D35AD7" w14:textId="272296B6" w:rsidR="00CE7D53" w:rsidRPr="007B2F77" w:rsidRDefault="00CE7D53" w:rsidP="00764377">
      <w:pPr>
        <w:pStyle w:val="B3"/>
        <w:ind w:left="2439"/>
        <w:rPr>
          <w:noProof/>
        </w:rPr>
      </w:pPr>
      <w:r w:rsidRPr="007B2F77">
        <w:rPr>
          <w:noProof/>
        </w:rPr>
        <w:t>3&gt;</w:t>
      </w:r>
      <w:r w:rsidRPr="007B2F77">
        <w:rPr>
          <w:noProof/>
          <w:lang w:eastAsia="ko-KR"/>
        </w:rPr>
        <w:tab/>
      </w:r>
      <w:r w:rsidRPr="00CE7D53">
        <w:rPr>
          <w:noProof/>
        </w:rPr>
        <w:t>instruct the Multiplexing and Assembly procedure to generate the UTR MAC CE as defined in clause 6.1.3.XX</w:t>
      </w:r>
      <w:r w:rsidR="00764377">
        <w:rPr>
          <w:noProof/>
        </w:rPr>
        <w:t>.</w:t>
      </w:r>
    </w:p>
    <w:p w14:paraId="2F648618" w14:textId="3AFF811F" w:rsidR="007B7828" w:rsidRPr="007B2F77" w:rsidRDefault="007B7828" w:rsidP="007B7828">
      <w:pPr>
        <w:pStyle w:val="EditorsNote"/>
        <w:rPr>
          <w:noProof/>
        </w:rPr>
      </w:pPr>
      <w:r>
        <w:rPr>
          <w:lang w:eastAsia="ko-KR"/>
        </w:rPr>
        <w:t xml:space="preserve">Editor’s note: </w:t>
      </w:r>
      <w:r w:rsidR="002C360E">
        <w:rPr>
          <w:lang w:eastAsia="ko-KR"/>
        </w:rPr>
        <w:t xml:space="preserve">FFS </w:t>
      </w:r>
      <w:r w:rsidR="00A57B02">
        <w:rPr>
          <w:lang w:eastAsia="ko-KR"/>
        </w:rPr>
        <w:t xml:space="preserve">if </w:t>
      </w:r>
      <w:r>
        <w:rPr>
          <w:lang w:eastAsia="ko-KR"/>
        </w:rPr>
        <w:t xml:space="preserve">actions related to no UL-SCH resources avilable </w:t>
      </w:r>
      <w:r w:rsidR="001C5FF4">
        <w:rPr>
          <w:lang w:eastAsia="ko-KR"/>
        </w:rPr>
        <w:t xml:space="preserve">are needed </w:t>
      </w:r>
      <w:r w:rsidR="00A57B02">
        <w:rPr>
          <w:lang w:eastAsia="ko-KR"/>
        </w:rPr>
        <w:t xml:space="preserve">here </w:t>
      </w:r>
      <w:r>
        <w:rPr>
          <w:lang w:eastAsia="ko-KR"/>
        </w:rPr>
        <w:t>”</w:t>
      </w:r>
      <w:r w:rsidRPr="007B2F77">
        <w:rPr>
          <w:noProof/>
          <w:lang w:eastAsia="ko-KR"/>
        </w:rPr>
        <w:t>2&gt;</w:t>
      </w:r>
      <w:r w:rsidRPr="007B2F77">
        <w:rPr>
          <w:noProof/>
          <w:lang w:eastAsia="ko-KR"/>
        </w:rPr>
        <w:tab/>
      </w:r>
      <w:r w:rsidRPr="00CE7D53">
        <w:rPr>
          <w:noProof/>
        </w:rPr>
        <w:t>if there is no UL-SCH resource available for a new transmission:</w:t>
      </w:r>
      <w:r w:rsidR="002C360E">
        <w:rPr>
          <w:noProof/>
        </w:rPr>
        <w:t>3&gt;</w:t>
      </w:r>
      <w:r w:rsidR="002C360E" w:rsidRPr="007B2F77">
        <w:rPr>
          <w:noProof/>
          <w:lang w:eastAsia="ko-KR"/>
        </w:rPr>
        <w:tab/>
      </w:r>
      <w:r w:rsidR="002C360E">
        <w:rPr>
          <w:noProof/>
          <w:lang w:eastAsia="ko-KR"/>
        </w:rPr>
        <w:t>trigger SR</w:t>
      </w:r>
      <w:r w:rsidR="002C360E">
        <w:rPr>
          <w:noProof/>
        </w:rPr>
        <w:t>”</w:t>
      </w:r>
    </w:p>
    <w:p w14:paraId="61A7DFB1" w14:textId="6B4844C5" w:rsidR="00CE7D53" w:rsidRPr="00764377" w:rsidRDefault="00CE7D53" w:rsidP="00764377">
      <w:pPr>
        <w:pStyle w:val="NO"/>
        <w:keepNext w:val="0"/>
        <w:keepLines/>
        <w:overflowPunct w:val="0"/>
        <w:autoSpaceDE w:val="0"/>
        <w:autoSpaceDN w:val="0"/>
        <w:adjustRightInd w:val="0"/>
        <w:spacing w:after="180" w:line="240" w:lineRule="auto"/>
        <w:ind w:left="2439"/>
        <w:jc w:val="left"/>
        <w:textAlignment w:val="baseline"/>
        <w:rPr>
          <w:rFonts w:ascii="Times New Roman" w:eastAsia="Times New Roman" w:hAnsi="Times New Roman" w:cs="Times New Roman"/>
          <w:noProof/>
          <w:sz w:val="20"/>
          <w:szCs w:val="20"/>
          <w:lang w:eastAsia="ja-JP"/>
        </w:rPr>
      </w:pPr>
      <w:r w:rsidRPr="00764377">
        <w:rPr>
          <w:rFonts w:ascii="Times New Roman" w:eastAsia="Times New Roman" w:hAnsi="Times New Roman" w:cs="Times New Roman"/>
          <w:noProof/>
          <w:sz w:val="20"/>
          <w:szCs w:val="20"/>
          <w:lang w:eastAsia="ja-JP"/>
        </w:rPr>
        <w:t>NOTE:</w:t>
      </w:r>
      <w:r w:rsidR="00764377" w:rsidRPr="00764377">
        <w:rPr>
          <w:noProof/>
        </w:rPr>
        <w:t xml:space="preserve"> </w:t>
      </w:r>
      <w:r w:rsidR="00764377" w:rsidRPr="007B2F77">
        <w:rPr>
          <w:noProof/>
        </w:rPr>
        <w:tab/>
      </w:r>
      <w:r w:rsidRPr="00764377">
        <w:rPr>
          <w:rFonts w:ascii="Times New Roman" w:eastAsia="Times New Roman" w:hAnsi="Times New Roman" w:cs="Times New Roman"/>
          <w:noProof/>
          <w:sz w:val="20"/>
          <w:szCs w:val="20"/>
          <w:lang w:eastAsia="ja-JP"/>
        </w:rPr>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32235E97" w14:textId="77777777" w:rsidR="00CE7D53" w:rsidRDefault="00CE7D53" w:rsidP="00764377">
      <w:pPr>
        <w:overflowPunct w:val="0"/>
        <w:autoSpaceDE w:val="0"/>
        <w:autoSpaceDN w:val="0"/>
        <w:adjustRightInd w:val="0"/>
        <w:spacing w:after="180" w:line="240" w:lineRule="auto"/>
        <w:ind w:left="1304"/>
        <w:textAlignment w:val="baseline"/>
        <w:rPr>
          <w:rFonts w:ascii="Times New Roman" w:eastAsia="Times New Roman" w:hAnsi="Times New Roman" w:cs="Times New Roman"/>
          <w:noProof/>
          <w:szCs w:val="20"/>
          <w:lang w:eastAsia="ja-JP"/>
        </w:rPr>
      </w:pPr>
      <w:r w:rsidRPr="00CE7D53">
        <w:rPr>
          <w:rFonts w:ascii="Times New Roman" w:eastAsia="Times New Roman" w:hAnsi="Times New Roman" w:cs="Times New Roman"/>
          <w:noProof/>
          <w:szCs w:val="20"/>
          <w:lang w:eastAsia="ja-JP"/>
        </w:rPr>
        <w:t>A MAC PDU shall contain at most one UTR MAC CE, even when multiple events have triggered a UTR.</w:t>
      </w:r>
    </w:p>
    <w:p w14:paraId="7A770FB0" w14:textId="5133251B" w:rsidR="00CE7D53" w:rsidRPr="00CE7D53" w:rsidRDefault="00CE7D53" w:rsidP="00764377">
      <w:pPr>
        <w:overflowPunct w:val="0"/>
        <w:autoSpaceDE w:val="0"/>
        <w:autoSpaceDN w:val="0"/>
        <w:adjustRightInd w:val="0"/>
        <w:spacing w:after="180" w:line="240" w:lineRule="auto"/>
        <w:ind w:left="1304"/>
        <w:textAlignment w:val="baseline"/>
        <w:rPr>
          <w:rFonts w:ascii="Times New Roman" w:eastAsia="Times New Roman" w:hAnsi="Times New Roman" w:cs="Times New Roman"/>
          <w:noProof/>
          <w:szCs w:val="20"/>
          <w:lang w:eastAsia="ja-JP"/>
        </w:rPr>
      </w:pPr>
      <w:r w:rsidRPr="00CE7D53">
        <w:rPr>
          <w:rFonts w:ascii="Times New Roman" w:eastAsia="Times New Roman" w:hAnsi="Times New Roman" w:cs="Times New Roman"/>
          <w:noProof/>
          <w:szCs w:val="20"/>
          <w:lang w:eastAsia="ja-JP"/>
        </w:rPr>
        <w:t>All UTRs triggered shall be cancelled when a MAC PDU is transmitted and this PDU includes a UTR MAC CE.</w:t>
      </w:r>
    </w:p>
    <w:p w14:paraId="1A55F262" w14:textId="3C7FCBEC" w:rsidR="00C42ED7" w:rsidRDefault="00C42ED7" w:rsidP="00B14DE3">
      <w:pPr>
        <w:rPr>
          <w:lang w:eastAsia="zh-CN"/>
        </w:rPr>
      </w:pPr>
      <w:r>
        <w:rPr>
          <w:lang w:eastAsia="zh-CN"/>
        </w:rPr>
        <w:t xml:space="preserve">The example above does not cover all the random-access cases agreed. </w:t>
      </w:r>
    </w:p>
    <w:p w14:paraId="5DBAF65E" w14:textId="77777777" w:rsidR="00C42ED7" w:rsidRPr="00C42ED7" w:rsidRDefault="00C42ED7" w:rsidP="00B14DE3">
      <w:pPr>
        <w:rPr>
          <w:lang w:eastAsia="zh-CN"/>
        </w:rPr>
      </w:pPr>
    </w:p>
    <w:p w14:paraId="043D2B54" w14:textId="3AD4BD80" w:rsidR="006D0D37" w:rsidRPr="00E4058A" w:rsidRDefault="00506F48" w:rsidP="003E20E7">
      <w:pPr>
        <w:pStyle w:val="Heading2"/>
      </w:pPr>
      <w:r>
        <w:lastRenderedPageBreak/>
        <w:t>Prioritization of n</w:t>
      </w:r>
      <w:r w:rsidR="006D0D37">
        <w:t xml:space="preserve">ew MAC CE </w:t>
      </w:r>
    </w:p>
    <w:p w14:paraId="45A50DF4" w14:textId="3872D5EE" w:rsidR="006D0D37" w:rsidRDefault="006D0D37" w:rsidP="006D0D37">
      <w:pPr>
        <w:jc w:val="both"/>
      </w:pPr>
      <w:r>
        <w:t>At RAN2#116 the following was agreed</w:t>
      </w:r>
    </w:p>
    <w:p w14:paraId="68152FB1" w14:textId="77777777" w:rsidR="006D0D37" w:rsidRDefault="006D0D37" w:rsidP="006D0D37">
      <w:pPr>
        <w:pStyle w:val="Doc-text2"/>
        <w:numPr>
          <w:ilvl w:val="0"/>
          <w:numId w:val="41"/>
        </w:numPr>
        <w:pBdr>
          <w:top w:val="single" w:sz="4" w:space="1" w:color="auto"/>
          <w:left w:val="single" w:sz="4" w:space="4" w:color="auto"/>
          <w:bottom w:val="single" w:sz="4" w:space="1" w:color="auto"/>
          <w:right w:val="single" w:sz="4" w:space="4" w:color="auto"/>
        </w:pBdr>
      </w:pPr>
      <w:r>
        <w:t>Logical channel priority of the TA report MAC CE should be lower than that of “C-RNTI MAC CE or data from UL-CCCH” and higher than that of “data from any Logical Channel, except data from UL-CCCH”.</w:t>
      </w:r>
    </w:p>
    <w:p w14:paraId="0FD38247" w14:textId="77777777" w:rsidR="006D0D37" w:rsidRDefault="006D0D37" w:rsidP="006D0D37">
      <w:pPr>
        <w:jc w:val="both"/>
      </w:pPr>
    </w:p>
    <w:p w14:paraId="4039A3A0" w14:textId="77777777" w:rsidR="006D0D37" w:rsidRDefault="006D0D37" w:rsidP="006D0D37">
      <w:pPr>
        <w:pStyle w:val="Doc-text2"/>
        <w:pBdr>
          <w:top w:val="single" w:sz="4" w:space="1" w:color="auto"/>
          <w:left w:val="single" w:sz="4" w:space="4" w:color="auto"/>
          <w:bottom w:val="single" w:sz="4" w:space="1" w:color="auto"/>
          <w:right w:val="single" w:sz="4" w:space="4" w:color="auto"/>
        </w:pBdr>
      </w:pPr>
      <w:r>
        <w:t>Agreements online:</w:t>
      </w:r>
    </w:p>
    <w:p w14:paraId="7E47160D" w14:textId="77777777" w:rsidR="006D0D37" w:rsidRDefault="006D0D37" w:rsidP="006D0D37">
      <w:pPr>
        <w:pStyle w:val="Doc-text2"/>
        <w:numPr>
          <w:ilvl w:val="0"/>
          <w:numId w:val="42"/>
        </w:numPr>
        <w:pBdr>
          <w:top w:val="single" w:sz="4" w:space="1" w:color="auto"/>
          <w:left w:val="single" w:sz="4" w:space="4" w:color="auto"/>
          <w:bottom w:val="single" w:sz="4" w:space="1" w:color="auto"/>
          <w:right w:val="single" w:sz="4" w:space="4" w:color="auto"/>
        </w:pBdr>
      </w:pPr>
      <w:r>
        <w:t>RAN2 further discuss the exact priority of the TA report MAC CE between “C-RNTI MAC CE or data from UL-CCCH” and “MAC CE for BSR, with exception of BSR included for padding</w:t>
      </w:r>
    </w:p>
    <w:p w14:paraId="0BBD9F38" w14:textId="77777777" w:rsidR="000B77F0" w:rsidRDefault="000B77F0" w:rsidP="006D0D37">
      <w:pPr>
        <w:jc w:val="both"/>
      </w:pPr>
    </w:p>
    <w:p w14:paraId="53DA882D" w14:textId="527EC14C" w:rsidR="006D0D37" w:rsidRDefault="006D0D37" w:rsidP="006D0D37">
      <w:pPr>
        <w:jc w:val="both"/>
      </w:pPr>
      <w:r>
        <w:t>To facilitate the network to control whether the new TA report MAC CE sent during Random Access procedures shall be transmitted in the Msg3 or Msg5, we need to decide the prio</w:t>
      </w:r>
      <w:r w:rsidR="00AC795A">
        <w:t>ritization</w:t>
      </w:r>
      <w:r>
        <w:t xml:space="preserve"> of this new MAC CE in the prio</w:t>
      </w:r>
      <w:r w:rsidR="00AC795A">
        <w:t>ritization</w:t>
      </w:r>
      <w:r>
        <w:t xml:space="preserve"> list of MAC spec 5.4.3.1.3:</w:t>
      </w:r>
    </w:p>
    <w:p w14:paraId="7DC7CE3A" w14:textId="77777777" w:rsidR="006D0D37" w:rsidRPr="00BA070A" w:rsidRDefault="006D0D37" w:rsidP="006D0D37">
      <w:pPr>
        <w:ind w:left="568"/>
        <w:rPr>
          <w:rFonts w:ascii="Times New Roman" w:hAnsi="Times New Roman" w:cs="Times New Roman"/>
          <w:szCs w:val="20"/>
          <w:lang w:eastAsia="ko-KR"/>
        </w:rPr>
      </w:pPr>
      <w:r w:rsidRPr="00BA070A">
        <w:rPr>
          <w:rFonts w:ascii="Times New Roman" w:hAnsi="Times New Roman" w:cs="Times New Roman"/>
          <w:szCs w:val="20"/>
          <w:lang w:eastAsia="ko-KR"/>
        </w:rPr>
        <w:t>Logical channels shall be prioritised in accordance with the following order (highest priority listed first):</w:t>
      </w:r>
    </w:p>
    <w:p w14:paraId="753F8FF6" w14:textId="77777777" w:rsidR="006D0D37" w:rsidRPr="00BA070A" w:rsidRDefault="006D0D37" w:rsidP="006D0D37">
      <w:pPr>
        <w:pStyle w:val="B1"/>
        <w:ind w:left="1136"/>
        <w:rPr>
          <w:lang w:eastAsia="ko-KR"/>
        </w:rPr>
      </w:pPr>
      <w:r w:rsidRPr="00BA070A">
        <w:rPr>
          <w:lang w:eastAsia="ko-KR"/>
        </w:rPr>
        <w:t>-</w:t>
      </w:r>
      <w:r w:rsidRPr="00BA070A">
        <w:rPr>
          <w:lang w:eastAsia="ko-KR"/>
        </w:rPr>
        <w:tab/>
        <w:t>C-RNTI MAC CE or data from UL-CCCH;</w:t>
      </w:r>
    </w:p>
    <w:p w14:paraId="2282D6B7" w14:textId="77777777" w:rsidR="006D0D37" w:rsidRPr="00BA070A" w:rsidRDefault="006D0D37" w:rsidP="006D0D37">
      <w:pPr>
        <w:pStyle w:val="B1"/>
        <w:ind w:left="1136"/>
        <w:rPr>
          <w:lang w:eastAsia="ko-KR"/>
        </w:rPr>
      </w:pPr>
      <w:r w:rsidRPr="00BA070A">
        <w:rPr>
          <w:lang w:eastAsia="ko-KR"/>
        </w:rPr>
        <w:t>-</w:t>
      </w:r>
      <w:r w:rsidRPr="00BA070A">
        <w:rPr>
          <w:lang w:eastAsia="ko-KR"/>
        </w:rPr>
        <w:tab/>
        <w:t>Configured Grant Confirmation MAC CE or BFR MAC CE or Multiple Entry Configured Grant Confirmation MAC CE;</w:t>
      </w:r>
    </w:p>
    <w:p w14:paraId="1073F82F" w14:textId="77777777" w:rsidR="006D0D37" w:rsidRPr="00BA070A" w:rsidRDefault="006D0D37" w:rsidP="006D0D37">
      <w:pPr>
        <w:pStyle w:val="B1"/>
        <w:ind w:left="1136"/>
        <w:rPr>
          <w:lang w:eastAsia="ko-KR"/>
        </w:rPr>
      </w:pPr>
      <w:r w:rsidRPr="00BA070A">
        <w:rPr>
          <w:lang w:eastAsia="ko-KR"/>
        </w:rPr>
        <w:t>-</w:t>
      </w:r>
      <w:r w:rsidRPr="00BA070A">
        <w:rPr>
          <w:lang w:eastAsia="ko-KR"/>
        </w:rPr>
        <w:tab/>
      </w:r>
      <w:r w:rsidRPr="00BA070A">
        <w:t xml:space="preserve">Sidelink Configured </w:t>
      </w:r>
      <w:r w:rsidRPr="00BA070A">
        <w:rPr>
          <w:lang w:eastAsia="ko-KR"/>
        </w:rPr>
        <w:t>G</w:t>
      </w:r>
      <w:r w:rsidRPr="00BA070A">
        <w:t xml:space="preserve">rant </w:t>
      </w:r>
      <w:r w:rsidRPr="00BA070A">
        <w:rPr>
          <w:lang w:eastAsia="ko-KR"/>
        </w:rPr>
        <w:t>C</w:t>
      </w:r>
      <w:r w:rsidRPr="00BA070A">
        <w:t xml:space="preserve">onfirmation MAC </w:t>
      </w:r>
      <w:r w:rsidRPr="00BA070A">
        <w:rPr>
          <w:lang w:eastAsia="ko-KR"/>
        </w:rPr>
        <w:t>CE;</w:t>
      </w:r>
    </w:p>
    <w:p w14:paraId="4C04E469" w14:textId="77777777" w:rsidR="006D0D37" w:rsidRPr="00BA070A" w:rsidRDefault="006D0D37" w:rsidP="006D0D37">
      <w:pPr>
        <w:pStyle w:val="B1"/>
        <w:ind w:left="1136"/>
        <w:rPr>
          <w:lang w:eastAsia="ko-KR"/>
        </w:rPr>
      </w:pPr>
      <w:r w:rsidRPr="00BA070A">
        <w:rPr>
          <w:lang w:eastAsia="ko-KR"/>
        </w:rPr>
        <w:t>-</w:t>
      </w:r>
      <w:r w:rsidRPr="00BA070A">
        <w:rPr>
          <w:lang w:eastAsia="ko-KR"/>
        </w:rPr>
        <w:tab/>
        <w:t>LBT failure MAC CE;</w:t>
      </w:r>
    </w:p>
    <w:p w14:paraId="72BB78F7" w14:textId="77777777" w:rsidR="006D0D37" w:rsidRPr="00BA070A" w:rsidRDefault="006D0D37" w:rsidP="006D0D37">
      <w:pPr>
        <w:pStyle w:val="B1"/>
        <w:ind w:left="1136"/>
        <w:rPr>
          <w:lang w:eastAsia="ko-KR"/>
        </w:rPr>
      </w:pPr>
      <w:r w:rsidRPr="00BA070A">
        <w:t>-</w:t>
      </w:r>
      <w:r w:rsidRPr="00BA070A">
        <w:tab/>
        <w:t>MAC CE for SL-BSR prioritized according to clause 5.22.1.6;</w:t>
      </w:r>
    </w:p>
    <w:p w14:paraId="1D1CA05B" w14:textId="77777777" w:rsidR="006D0D37" w:rsidRPr="00BA070A" w:rsidRDefault="006D0D37" w:rsidP="006D0D37">
      <w:pPr>
        <w:pStyle w:val="B1"/>
        <w:ind w:left="1136"/>
        <w:rPr>
          <w:lang w:eastAsia="ko-KR"/>
        </w:rPr>
      </w:pPr>
      <w:r w:rsidRPr="00BA070A">
        <w:rPr>
          <w:lang w:eastAsia="ko-KR"/>
        </w:rPr>
        <w:t>-</w:t>
      </w:r>
      <w:r w:rsidRPr="00BA070A">
        <w:rPr>
          <w:lang w:eastAsia="ko-KR"/>
        </w:rPr>
        <w:tab/>
        <w:t>MAC CE for BSR, with exception of BSR included for padding;</w:t>
      </w:r>
    </w:p>
    <w:p w14:paraId="6E408A03" w14:textId="77777777" w:rsidR="006D0D37" w:rsidRPr="00BA070A" w:rsidRDefault="006D0D37" w:rsidP="006D0D37">
      <w:pPr>
        <w:pStyle w:val="B1"/>
        <w:ind w:left="1136"/>
        <w:rPr>
          <w:lang w:eastAsia="ko-KR"/>
        </w:rPr>
      </w:pPr>
      <w:r w:rsidRPr="00BA070A">
        <w:rPr>
          <w:lang w:eastAsia="ko-KR"/>
        </w:rPr>
        <w:t>-</w:t>
      </w:r>
      <w:r w:rsidRPr="00BA070A">
        <w:rPr>
          <w:lang w:eastAsia="ko-KR"/>
        </w:rPr>
        <w:tab/>
        <w:t>Single Entry PHR MAC CE or Multiple Entry PHR MAC CE;</w:t>
      </w:r>
    </w:p>
    <w:p w14:paraId="3CFB95D1" w14:textId="77777777" w:rsidR="006D0D37" w:rsidRPr="00BA070A" w:rsidRDefault="006D0D37" w:rsidP="006D0D37">
      <w:pPr>
        <w:pStyle w:val="B1"/>
        <w:ind w:left="1136"/>
        <w:rPr>
          <w:lang w:eastAsia="ko-KR"/>
        </w:rPr>
      </w:pPr>
      <w:r w:rsidRPr="00BA070A">
        <w:rPr>
          <w:lang w:eastAsia="ko-KR"/>
        </w:rPr>
        <w:t>-</w:t>
      </w:r>
      <w:r w:rsidRPr="00BA070A">
        <w:rPr>
          <w:lang w:eastAsia="ko-KR"/>
        </w:rPr>
        <w:tab/>
        <w:t>MAC CE for the number of Desired Guard Symbols;</w:t>
      </w:r>
    </w:p>
    <w:p w14:paraId="1AAF4F2A" w14:textId="77777777" w:rsidR="006D0D37" w:rsidRPr="00BA070A" w:rsidRDefault="006D0D37" w:rsidP="006D0D37">
      <w:pPr>
        <w:pStyle w:val="B1"/>
        <w:ind w:left="1136"/>
        <w:rPr>
          <w:lang w:eastAsia="ko-KR"/>
        </w:rPr>
      </w:pPr>
      <w:r w:rsidRPr="00BA070A">
        <w:rPr>
          <w:lang w:eastAsia="ko-KR"/>
        </w:rPr>
        <w:t>-</w:t>
      </w:r>
      <w:r w:rsidRPr="00BA070A">
        <w:rPr>
          <w:lang w:eastAsia="ko-KR"/>
        </w:rPr>
        <w:tab/>
        <w:t>MAC CE for Pre-emptive BSR;</w:t>
      </w:r>
    </w:p>
    <w:p w14:paraId="527CC8BC" w14:textId="77777777" w:rsidR="006D0D37" w:rsidRPr="00BA070A" w:rsidRDefault="006D0D37" w:rsidP="006D0D37">
      <w:pPr>
        <w:pStyle w:val="B1"/>
        <w:ind w:left="1136"/>
        <w:rPr>
          <w:lang w:eastAsia="ko-KR"/>
        </w:rPr>
      </w:pPr>
      <w:r w:rsidRPr="00BA070A">
        <w:t>-</w:t>
      </w:r>
      <w:r w:rsidRPr="00BA070A">
        <w:tab/>
        <w:t>MAC CE for SL-BSR, with exception of SL-BSR prioritized according to clause 5.22.1.6 and SL-BSR included for padding;</w:t>
      </w:r>
    </w:p>
    <w:p w14:paraId="182DC345" w14:textId="77777777" w:rsidR="006D0D37" w:rsidRPr="00BA070A" w:rsidRDefault="006D0D37" w:rsidP="006D0D37">
      <w:pPr>
        <w:pStyle w:val="B1"/>
        <w:ind w:left="1136"/>
        <w:rPr>
          <w:lang w:eastAsia="ko-KR"/>
        </w:rPr>
      </w:pPr>
      <w:r w:rsidRPr="00BA070A">
        <w:rPr>
          <w:lang w:eastAsia="ko-KR"/>
        </w:rPr>
        <w:t>-</w:t>
      </w:r>
      <w:r w:rsidRPr="00BA070A">
        <w:rPr>
          <w:lang w:eastAsia="ko-KR"/>
        </w:rPr>
        <w:tab/>
        <w:t>data from any Logical Channel, except data from UL-CCCH;</w:t>
      </w:r>
    </w:p>
    <w:p w14:paraId="2EA8E1EB" w14:textId="77777777" w:rsidR="006D0D37" w:rsidRPr="00BA070A" w:rsidRDefault="006D0D37" w:rsidP="006D0D37">
      <w:pPr>
        <w:pStyle w:val="B1"/>
        <w:ind w:left="1136"/>
        <w:rPr>
          <w:lang w:eastAsia="ko-KR"/>
        </w:rPr>
      </w:pPr>
      <w:r w:rsidRPr="00BA070A">
        <w:rPr>
          <w:lang w:eastAsia="ko-KR"/>
        </w:rPr>
        <w:t>-</w:t>
      </w:r>
      <w:r w:rsidRPr="00BA070A">
        <w:rPr>
          <w:lang w:eastAsia="ko-KR"/>
        </w:rPr>
        <w:tab/>
        <w:t>MAC CE for Recommended bit rate query;</w:t>
      </w:r>
    </w:p>
    <w:p w14:paraId="1FEFC286" w14:textId="77777777" w:rsidR="006D0D37" w:rsidRPr="00BA070A" w:rsidRDefault="006D0D37" w:rsidP="006D0D37">
      <w:pPr>
        <w:pStyle w:val="B1"/>
        <w:ind w:left="1136"/>
        <w:rPr>
          <w:lang w:eastAsia="ko-KR"/>
        </w:rPr>
      </w:pPr>
      <w:r w:rsidRPr="00BA070A">
        <w:rPr>
          <w:lang w:eastAsia="ko-KR"/>
        </w:rPr>
        <w:t>-</w:t>
      </w:r>
      <w:r w:rsidRPr="00BA070A">
        <w:rPr>
          <w:lang w:eastAsia="ko-KR"/>
        </w:rPr>
        <w:tab/>
        <w:t>MAC CE for BSR included for padding;</w:t>
      </w:r>
    </w:p>
    <w:p w14:paraId="4C065377" w14:textId="77777777" w:rsidR="006D0D37" w:rsidRPr="00BA070A" w:rsidRDefault="006D0D37" w:rsidP="006D0D37">
      <w:pPr>
        <w:pStyle w:val="B1"/>
        <w:ind w:left="1136"/>
      </w:pPr>
      <w:r w:rsidRPr="00BA070A">
        <w:t>-</w:t>
      </w:r>
      <w:r w:rsidRPr="00BA070A">
        <w:tab/>
        <w:t>MAC CE for SL-BSR included for padding.</w:t>
      </w:r>
    </w:p>
    <w:p w14:paraId="29BCCC55" w14:textId="77777777" w:rsidR="006D0D37" w:rsidRPr="00BA070A" w:rsidRDefault="006D0D37" w:rsidP="006D0D37">
      <w:pPr>
        <w:pStyle w:val="NO"/>
        <w:ind w:left="1419"/>
        <w:jc w:val="both"/>
        <w:rPr>
          <w:rFonts w:ascii="Times New Roman" w:hAnsi="Times New Roman" w:cs="Times New Roman"/>
          <w:sz w:val="20"/>
          <w:szCs w:val="20"/>
        </w:rPr>
      </w:pPr>
      <w:r w:rsidRPr="00BA070A">
        <w:rPr>
          <w:rFonts w:ascii="Times New Roman" w:hAnsi="Times New Roman" w:cs="Times New Roman"/>
          <w:sz w:val="20"/>
          <w:szCs w:val="20"/>
          <w:lang w:eastAsia="ko-KR"/>
        </w:rPr>
        <w:t>NOTE 2</w:t>
      </w:r>
      <w:r w:rsidRPr="00BA070A">
        <w:rPr>
          <w:rFonts w:ascii="Times New Roman" w:hAnsi="Times New Roman" w:cs="Times New Roman"/>
          <w:sz w:val="20"/>
          <w:szCs w:val="20"/>
        </w:rPr>
        <w:t>:</w:t>
      </w:r>
      <w:r w:rsidRPr="00BA070A">
        <w:rPr>
          <w:rFonts w:ascii="Times New Roman" w:hAnsi="Times New Roman" w:cs="Times New Roman"/>
          <w:sz w:val="20"/>
          <w:szCs w:val="20"/>
        </w:rPr>
        <w:tab/>
        <w:t xml:space="preserve">Prioritization among </w:t>
      </w:r>
      <w:r w:rsidRPr="00BA070A">
        <w:rPr>
          <w:rFonts w:ascii="Times New Roman" w:hAnsi="Times New Roman" w:cs="Times New Roman"/>
          <w:sz w:val="20"/>
          <w:szCs w:val="20"/>
          <w:lang w:eastAsia="ko-KR"/>
        </w:rPr>
        <w:t>Configured Grant Confirmation MAC CE, Multiple Entry Configured Grant Confirmation MAC CE,</w:t>
      </w:r>
      <w:r w:rsidRPr="00BA070A">
        <w:rPr>
          <w:rFonts w:ascii="Times New Roman" w:hAnsi="Times New Roman" w:cs="Times New Roman"/>
          <w:sz w:val="20"/>
          <w:szCs w:val="20"/>
        </w:rPr>
        <w:t xml:space="preserve"> and BFR MAC CE is up to UE implementation.</w:t>
      </w:r>
    </w:p>
    <w:p w14:paraId="16D02539" w14:textId="71051ACE" w:rsidR="006D0D37" w:rsidRDefault="006D0D37" w:rsidP="006D0D37">
      <w:pPr>
        <w:jc w:val="both"/>
      </w:pPr>
      <w:r>
        <w:t>If we select a prio</w:t>
      </w:r>
      <w:r w:rsidR="0008648A">
        <w:t>ritization</w:t>
      </w:r>
      <w:r>
        <w:t xml:space="preserve"> for the new MAC CE that is lower than “C-RNTI MAC CE or data from UL-CCCH” but higher than “</w:t>
      </w:r>
      <w:r w:rsidR="00700935">
        <w:t>MAC CE for BSR, with exception of BSR included for padding</w:t>
      </w:r>
      <w:r>
        <w:t>”, the network can select to always get the new MAC CE in Msg3/MsgA by selecting a suitable TBS for Msg3/MsgA. If the TBS of Msg3/MsgA is not large enough to include the new MAC CE, then it will be included in the next UL scheduling</w:t>
      </w:r>
      <w:r w:rsidR="00A57B02">
        <w:t>.</w:t>
      </w:r>
      <w:r>
        <w:t xml:space="preserve"> </w:t>
      </w:r>
      <w:r w:rsidR="00A57B02">
        <w:t xml:space="preserve">This </w:t>
      </w:r>
      <w:r>
        <w:t>is because</w:t>
      </w:r>
      <w:r w:rsidR="00A57B02">
        <w:t xml:space="preserve"> in idle</w:t>
      </w:r>
      <w:r>
        <w:t xml:space="preserve"> RRCSetupRequest and RRCResumeRequest is sent on SRB0 (UL-CCCH) in Msg3/MsgA while RRCResumeComplete and RRCSetupComplete is sent on SRB1 (that is “</w:t>
      </w:r>
      <w:r w:rsidRPr="007B2F77">
        <w:rPr>
          <w:lang w:eastAsia="ko-KR"/>
        </w:rPr>
        <w:t>data from any Logical Channel, except data from UL-CCCH</w:t>
      </w:r>
      <w:r>
        <w:rPr>
          <w:lang w:eastAsia="ko-KR"/>
        </w:rPr>
        <w:t>”)</w:t>
      </w:r>
      <w:r w:rsidR="00A57B02">
        <w:rPr>
          <w:lang w:eastAsia="ko-KR"/>
        </w:rPr>
        <w:t xml:space="preserve"> and in connected mode, the UE will include the C-RNTI MAC CE before the new MAC CE in MsgA/Msg3</w:t>
      </w:r>
      <w:r>
        <w:t xml:space="preserve">. </w:t>
      </w:r>
    </w:p>
    <w:p w14:paraId="4B32F36C" w14:textId="20D061C5" w:rsidR="006D0D37" w:rsidRDefault="006D0D37" w:rsidP="006D0D37">
      <w:pPr>
        <w:jc w:val="both"/>
      </w:pPr>
      <w:r>
        <w:t>Further we think the BFR MAC CE</w:t>
      </w:r>
      <w:r w:rsidR="00700935">
        <w:t xml:space="preserve"> and</w:t>
      </w:r>
      <w:r>
        <w:t xml:space="preserve"> Configured Grant Confirmation MAC CEs</w:t>
      </w:r>
      <w:r w:rsidR="00700935">
        <w:t xml:space="preserve"> are more important</w:t>
      </w:r>
      <w:r w:rsidR="009F4D0C">
        <w:t>,</w:t>
      </w:r>
      <w:r w:rsidR="00700935">
        <w:t xml:space="preserve"> than the new MAC CE</w:t>
      </w:r>
      <w:r w:rsidR="009F4D0C">
        <w:t xml:space="preserve">, as delaying especially BFR may </w:t>
      </w:r>
      <w:r w:rsidR="00942A1E">
        <w:t xml:space="preserve">lead to a dropped link or degraded </w:t>
      </w:r>
      <w:r w:rsidR="009F4D0C">
        <w:t xml:space="preserve">link performance. The </w:t>
      </w:r>
      <w:r>
        <w:t>BSR MAC CEs and PHR MAC CEs, that may be triggered when doing RA in CONNECTED mode</w:t>
      </w:r>
      <w:r w:rsidR="009F4D0C">
        <w:t>,</w:t>
      </w:r>
      <w:r w:rsidR="00700935">
        <w:t xml:space="preserve"> </w:t>
      </w:r>
      <w:r w:rsidR="009F4D0C">
        <w:t>are not as serious to delay as the new MAC CE</w:t>
      </w:r>
      <w:r>
        <w:t xml:space="preserve">. </w:t>
      </w:r>
      <w:r w:rsidR="009F4D0C">
        <w:t>Therefore</w:t>
      </w:r>
      <w:r w:rsidR="00942A1E">
        <w:t>,</w:t>
      </w:r>
      <w:r w:rsidR="009F4D0C">
        <w:t xml:space="preserve"> we propose:</w:t>
      </w:r>
      <w:r>
        <w:t xml:space="preserve"> </w:t>
      </w:r>
    </w:p>
    <w:p w14:paraId="7CB161D4" w14:textId="79D66B4D" w:rsidR="006D0D37" w:rsidRPr="006D0D37" w:rsidRDefault="006D0D37" w:rsidP="006D0D37">
      <w:pPr>
        <w:pStyle w:val="Proposal"/>
        <w:rPr>
          <w:rFonts w:cs="Arial"/>
          <w:lang w:eastAsia="en-US"/>
        </w:rPr>
      </w:pPr>
      <w:bookmarkStart w:id="82" w:name="_Toc85108112"/>
      <w:bookmarkStart w:id="83" w:name="_Toc85108152"/>
      <w:bookmarkStart w:id="84" w:name="_Toc85108509"/>
      <w:bookmarkStart w:id="85" w:name="_Toc85108547"/>
      <w:bookmarkStart w:id="86" w:name="_Toc85109448"/>
      <w:bookmarkStart w:id="87" w:name="_Toc85109487"/>
      <w:bookmarkStart w:id="88" w:name="_Toc85110578"/>
      <w:bookmarkStart w:id="89" w:name="_Toc85110619"/>
      <w:bookmarkStart w:id="90" w:name="_Toc85115159"/>
      <w:bookmarkStart w:id="91" w:name="_Toc85115200"/>
      <w:bookmarkStart w:id="92" w:name="_Toc85115239"/>
      <w:bookmarkStart w:id="93" w:name="_Toc85115277"/>
      <w:bookmarkStart w:id="94" w:name="_Toc85115883"/>
      <w:bookmarkStart w:id="95" w:name="_Toc85115922"/>
      <w:bookmarkStart w:id="96" w:name="_Toc85118748"/>
      <w:bookmarkStart w:id="97" w:name="_Toc85118787"/>
      <w:bookmarkStart w:id="98" w:name="_Toc85190259"/>
      <w:bookmarkStart w:id="99" w:name="_Toc85190298"/>
      <w:bookmarkStart w:id="100" w:name="_Toc85190969"/>
      <w:bookmarkStart w:id="101" w:name="_Toc85191008"/>
      <w:bookmarkStart w:id="102" w:name="_Toc85527054"/>
      <w:bookmarkStart w:id="103" w:name="_Toc85527094"/>
      <w:bookmarkStart w:id="104" w:name="_Toc85756752"/>
      <w:bookmarkStart w:id="105" w:name="_Toc85756791"/>
      <w:bookmarkStart w:id="106" w:name="_Toc85758439"/>
      <w:bookmarkStart w:id="107" w:name="_Toc85758473"/>
      <w:bookmarkStart w:id="108" w:name="_Toc85758507"/>
      <w:bookmarkStart w:id="109" w:name="_Toc85758540"/>
      <w:bookmarkStart w:id="110" w:name="_Toc85758972"/>
      <w:bookmarkStart w:id="111" w:name="_Toc85759005"/>
      <w:bookmarkStart w:id="112" w:name="_Toc85762131"/>
      <w:bookmarkStart w:id="113" w:name="_Toc89867314"/>
      <w:bookmarkStart w:id="114" w:name="_Toc89867349"/>
      <w:bookmarkStart w:id="115" w:name="_Toc90375276"/>
      <w:bookmarkStart w:id="116" w:name="_Toc90375315"/>
      <w:bookmarkStart w:id="117" w:name="_Toc90942502"/>
      <w:bookmarkStart w:id="118" w:name="_Toc90942516"/>
      <w:bookmarkStart w:id="119" w:name="_Toc90942705"/>
      <w:bookmarkStart w:id="120" w:name="_Toc90942719"/>
      <w:bookmarkStart w:id="121" w:name="_Toc91169132"/>
      <w:bookmarkStart w:id="122" w:name="_Toc91169146"/>
      <w:bookmarkStart w:id="123" w:name="_Toc91170897"/>
      <w:bookmarkStart w:id="124" w:name="_Toc91170912"/>
      <w:bookmarkStart w:id="125" w:name="_Toc91173315"/>
      <w:bookmarkStart w:id="126" w:name="_Toc91173330"/>
      <w:bookmarkStart w:id="127" w:name="_Toc91173706"/>
      <w:bookmarkStart w:id="128" w:name="_Toc91173721"/>
      <w:bookmarkStart w:id="129" w:name="_Toc91174021"/>
      <w:bookmarkStart w:id="130" w:name="_Toc91174036"/>
      <w:bookmarkStart w:id="131" w:name="_Toc91174533"/>
      <w:bookmarkStart w:id="132" w:name="_Toc91174549"/>
      <w:bookmarkStart w:id="133" w:name="_Toc91174781"/>
      <w:bookmarkStart w:id="134" w:name="_Toc91174798"/>
      <w:bookmarkStart w:id="135" w:name="_Toc91175165"/>
      <w:bookmarkStart w:id="136" w:name="_Toc91175182"/>
      <w:bookmarkStart w:id="137" w:name="_Toc91176423"/>
      <w:bookmarkStart w:id="138" w:name="_Toc91176446"/>
      <w:bookmarkStart w:id="139" w:name="_Toc91176619"/>
      <w:bookmarkStart w:id="140" w:name="_Toc91176642"/>
      <w:bookmarkStart w:id="141" w:name="_Toc91176799"/>
      <w:bookmarkStart w:id="142" w:name="_Toc91176822"/>
      <w:bookmarkStart w:id="143" w:name="_Toc92744021"/>
      <w:bookmarkStart w:id="144" w:name="_Toc92744045"/>
      <w:bookmarkStart w:id="145" w:name="_Toc92745092"/>
      <w:bookmarkStart w:id="146" w:name="_Toc92745118"/>
      <w:bookmarkStart w:id="147" w:name="_Toc92787221"/>
      <w:bookmarkStart w:id="148" w:name="_Toc92787247"/>
      <w:bookmarkStart w:id="149" w:name="_Toc92794757"/>
      <w:bookmarkStart w:id="150" w:name="_Toc92794783"/>
      <w:bookmarkStart w:id="151" w:name="_Toc92797844"/>
      <w:bookmarkStart w:id="152" w:name="_Toc92797870"/>
      <w:bookmarkStart w:id="153" w:name="_Toc92797908"/>
      <w:bookmarkStart w:id="154" w:name="_Toc92797931"/>
      <w:bookmarkStart w:id="155" w:name="_Toc92797986"/>
      <w:bookmarkStart w:id="156" w:name="_Toc92798009"/>
      <w:r>
        <w:t>The priority of the new MAC CE in the prio</w:t>
      </w:r>
      <w:r w:rsidR="0008648A">
        <w:t>ritization</w:t>
      </w:r>
      <w:r>
        <w:t xml:space="preserve"> list in the MAC spec section 5.4.3.1.3 shall be </w:t>
      </w:r>
      <w:r w:rsidR="009F4D0C">
        <w:t>lower than</w:t>
      </w:r>
      <w:r>
        <w:t xml:space="preserve"> “</w:t>
      </w:r>
      <w:r w:rsidR="009F4D0C" w:rsidRPr="00BA070A">
        <w:rPr>
          <w:lang w:eastAsia="ko-KR"/>
        </w:rPr>
        <w:t>Configured Grant Confirmation MAC CE or BFR MAC CE or Multiple Entry Configured Grant Confirmation MAC CE</w:t>
      </w:r>
      <w:r>
        <w:t xml:space="preserve">” and </w:t>
      </w:r>
      <w:r w:rsidR="009F4D0C">
        <w:t xml:space="preserve">higher than </w:t>
      </w:r>
      <w:r>
        <w:t>“</w:t>
      </w:r>
      <w:r w:rsidR="009F4D0C" w:rsidRPr="00BA070A">
        <w:t xml:space="preserve">Sidelink Configured </w:t>
      </w:r>
      <w:r w:rsidR="009F4D0C" w:rsidRPr="00BA070A">
        <w:rPr>
          <w:lang w:eastAsia="ko-KR"/>
        </w:rPr>
        <w:t>G</w:t>
      </w:r>
      <w:r w:rsidR="009F4D0C" w:rsidRPr="00BA070A">
        <w:t xml:space="preserve">rant </w:t>
      </w:r>
      <w:r w:rsidR="009F4D0C" w:rsidRPr="00BA070A">
        <w:rPr>
          <w:lang w:eastAsia="ko-KR"/>
        </w:rPr>
        <w:t>C</w:t>
      </w:r>
      <w:r w:rsidR="009F4D0C" w:rsidRPr="00BA070A">
        <w:t xml:space="preserve">onfirmation MAC </w:t>
      </w:r>
      <w:r w:rsidR="009F4D0C" w:rsidRPr="00BA070A">
        <w:rPr>
          <w:lang w:eastAsia="ko-KR"/>
        </w:rPr>
        <w:t>CE</w:t>
      </w:r>
      <w:r>
        <w:t>”.</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t xml:space="preserve"> </w:t>
      </w:r>
    </w:p>
    <w:p w14:paraId="7A9371AC" w14:textId="77777777" w:rsidR="00942A1E" w:rsidRPr="00E4058A" w:rsidRDefault="00942A1E" w:rsidP="006D0D37">
      <w:pPr>
        <w:jc w:val="both"/>
        <w:rPr>
          <w:rFonts w:cs="Arial"/>
        </w:rPr>
      </w:pPr>
    </w:p>
    <w:p w14:paraId="3426870F" w14:textId="69842A29" w:rsidR="008A0749" w:rsidRPr="00C53B14" w:rsidRDefault="00F635D3" w:rsidP="008A0749">
      <w:pPr>
        <w:pStyle w:val="Heading1"/>
      </w:pPr>
      <w:r w:rsidRPr="00C53B14">
        <w:t>R</w:t>
      </w:r>
      <w:r w:rsidR="0023194D" w:rsidRPr="00C53B14">
        <w:t xml:space="preserve">eporting UE specific </w:t>
      </w:r>
      <w:r w:rsidR="00324AA1" w:rsidRPr="00C53B14">
        <w:t>TA pre-compensation</w:t>
      </w:r>
      <w:r w:rsidR="00D31F63" w:rsidRPr="00C53B14">
        <w:t xml:space="preserve"> </w:t>
      </w:r>
    </w:p>
    <w:p w14:paraId="75B35127" w14:textId="48A4964A" w:rsidR="005464CC" w:rsidRDefault="005464CC" w:rsidP="0023194D">
      <w:pPr>
        <w:rPr>
          <w:lang w:eastAsia="zh-CN"/>
        </w:rPr>
      </w:pPr>
      <w:r>
        <w:rPr>
          <w:lang w:eastAsia="zh-CN"/>
        </w:rPr>
        <w:t>At RAN2#115e the following was agreed:</w:t>
      </w:r>
    </w:p>
    <w:p w14:paraId="10496182" w14:textId="77777777" w:rsidR="005464CC" w:rsidRDefault="005464CC" w:rsidP="005464CC">
      <w:pPr>
        <w:pStyle w:val="Doc-text2"/>
        <w:pBdr>
          <w:top w:val="single" w:sz="4" w:space="1" w:color="auto"/>
          <w:left w:val="single" w:sz="4" w:space="4" w:color="auto"/>
          <w:bottom w:val="single" w:sz="4" w:space="1" w:color="auto"/>
          <w:right w:val="single" w:sz="4" w:space="4" w:color="auto"/>
        </w:pBdr>
      </w:pPr>
      <w:r>
        <w:t>Agreements:</w:t>
      </w:r>
    </w:p>
    <w:p w14:paraId="6A2E7C42" w14:textId="77777777" w:rsidR="005464CC" w:rsidRDefault="005464CC" w:rsidP="005464CC">
      <w:pPr>
        <w:pStyle w:val="Doc-text2"/>
        <w:numPr>
          <w:ilvl w:val="0"/>
          <w:numId w:val="24"/>
        </w:numPr>
        <w:pBdr>
          <w:top w:val="single" w:sz="4" w:space="1" w:color="auto"/>
          <w:left w:val="single" w:sz="4" w:space="4" w:color="auto"/>
          <w:bottom w:val="single" w:sz="4" w:space="1" w:color="auto"/>
          <w:right w:val="single" w:sz="4" w:space="4" w:color="auto"/>
        </w:pBdr>
      </w:pPr>
      <w:r>
        <w:t>UE specific TA reporting during RACH procedure is enabled/disabled by SI (FFS for RACH in connected mode)</w:t>
      </w:r>
    </w:p>
    <w:p w14:paraId="1461ED7C" w14:textId="77777777" w:rsidR="005464CC" w:rsidRDefault="005464CC" w:rsidP="005464CC"/>
    <w:p w14:paraId="0BE06B0B" w14:textId="77777777" w:rsidR="005464CC" w:rsidRDefault="005464CC" w:rsidP="005464CC">
      <w:pPr>
        <w:pStyle w:val="Doc-text2"/>
        <w:pBdr>
          <w:top w:val="single" w:sz="4" w:space="1" w:color="auto"/>
          <w:left w:val="single" w:sz="4" w:space="1" w:color="auto"/>
          <w:bottom w:val="single" w:sz="4" w:space="1" w:color="auto"/>
          <w:right w:val="single" w:sz="4" w:space="1" w:color="auto"/>
        </w:pBdr>
      </w:pPr>
      <w:r>
        <w:t>Agreements:</w:t>
      </w:r>
    </w:p>
    <w:p w14:paraId="3B7732EE" w14:textId="77777777" w:rsidR="005464CC" w:rsidRDefault="005464CC" w:rsidP="005464CC">
      <w:pPr>
        <w:pStyle w:val="Doc-text2"/>
        <w:numPr>
          <w:ilvl w:val="0"/>
          <w:numId w:val="25"/>
        </w:numPr>
        <w:pBdr>
          <w:top w:val="single" w:sz="4" w:space="1" w:color="auto"/>
          <w:left w:val="single" w:sz="4" w:space="1" w:color="auto"/>
          <w:bottom w:val="single" w:sz="4" w:space="1" w:color="auto"/>
          <w:right w:val="single" w:sz="4" w:space="1" w:color="auto"/>
        </w:pBdr>
      </w:pPr>
      <w:r>
        <w:t>In the MAC specification section 5.1.5, delay the start of ra-ContentionResolutionTimer by the UE-gNB RTT (i.e. sum of UE's TA and K_mac)</w:t>
      </w:r>
    </w:p>
    <w:p w14:paraId="66E99532" w14:textId="77777777" w:rsidR="005464CC" w:rsidRDefault="005464CC" w:rsidP="005464CC">
      <w:pPr>
        <w:pStyle w:val="Doc-text2"/>
        <w:ind w:left="0" w:firstLine="0"/>
      </w:pPr>
    </w:p>
    <w:p w14:paraId="2A0D9CF8" w14:textId="77777777" w:rsidR="005464CC" w:rsidRDefault="005464CC" w:rsidP="005464CC">
      <w:pPr>
        <w:pStyle w:val="Doc-text2"/>
        <w:pBdr>
          <w:top w:val="single" w:sz="4" w:space="1" w:color="auto"/>
          <w:left w:val="single" w:sz="4" w:space="4" w:color="auto"/>
          <w:bottom w:val="single" w:sz="4" w:space="1" w:color="auto"/>
          <w:right w:val="single" w:sz="4" w:space="4" w:color="auto"/>
        </w:pBdr>
      </w:pPr>
      <w:r>
        <w:t>Agreements via email - from offline 106:</w:t>
      </w:r>
    </w:p>
    <w:p w14:paraId="674BAEF5" w14:textId="77777777" w:rsidR="005464CC" w:rsidRDefault="005464CC" w:rsidP="005464CC">
      <w:pPr>
        <w:pStyle w:val="Doc-text2"/>
        <w:numPr>
          <w:ilvl w:val="0"/>
          <w:numId w:val="26"/>
        </w:numPr>
        <w:pBdr>
          <w:top w:val="single" w:sz="4" w:space="1" w:color="auto"/>
          <w:left w:val="single" w:sz="4" w:space="4" w:color="auto"/>
          <w:bottom w:val="single" w:sz="4" w:space="1" w:color="auto"/>
          <w:right w:val="single" w:sz="4" w:space="4" w:color="auto"/>
        </w:pBdr>
      </w:pPr>
      <w:r>
        <w:t xml:space="preserve">The content of UE specific TA pre-compensation reported in RA procedure using MAC CE is UE specific TA (this </w:t>
      </w:r>
      <w:r w:rsidRPr="008F2805">
        <w:t>can be revisited after receiving RAN1 response</w:t>
      </w:r>
      <w:r>
        <w:t>).</w:t>
      </w:r>
    </w:p>
    <w:p w14:paraId="5D83D72D" w14:textId="77777777" w:rsidR="005464CC" w:rsidRPr="008224C8" w:rsidRDefault="005464CC" w:rsidP="005464CC">
      <w:pPr>
        <w:pStyle w:val="Doc-text2"/>
        <w:numPr>
          <w:ilvl w:val="0"/>
          <w:numId w:val="26"/>
        </w:numPr>
        <w:pBdr>
          <w:top w:val="single" w:sz="4" w:space="1" w:color="auto"/>
          <w:left w:val="single" w:sz="4" w:space="4" w:color="auto"/>
          <w:bottom w:val="single" w:sz="4" w:space="1" w:color="auto"/>
          <w:right w:val="single" w:sz="4" w:space="4" w:color="auto"/>
        </w:pBdr>
      </w:pPr>
      <w:bookmarkStart w:id="157" w:name="_Ref85747185"/>
      <w:r>
        <w:rPr>
          <w:szCs w:val="20"/>
        </w:rPr>
        <w:t>R</w:t>
      </w:r>
      <w:r w:rsidRPr="00082881">
        <w:rPr>
          <w:szCs w:val="20"/>
        </w:rPr>
        <w:t xml:space="preserve">eporting on the information about UE specific </w:t>
      </w:r>
      <w:r>
        <w:rPr>
          <w:szCs w:val="20"/>
        </w:rPr>
        <w:t>TA</w:t>
      </w:r>
      <w:r w:rsidRPr="000124B7">
        <w:rPr>
          <w:szCs w:val="20"/>
        </w:rPr>
        <w:t xml:space="preserve"> in connected mode</w:t>
      </w:r>
      <w:r>
        <w:rPr>
          <w:szCs w:val="20"/>
        </w:rPr>
        <w:t xml:space="preserve"> is supported</w:t>
      </w:r>
      <w:r w:rsidRPr="000124B7">
        <w:rPr>
          <w:szCs w:val="20"/>
        </w:rPr>
        <w:t>, FFS via RRC signalling or MAC CE</w:t>
      </w:r>
      <w:bookmarkEnd w:id="157"/>
    </w:p>
    <w:p w14:paraId="25E2C1F3" w14:textId="77777777" w:rsidR="005464CC" w:rsidRDefault="005464CC" w:rsidP="005464CC">
      <w:pPr>
        <w:pStyle w:val="Doc-text2"/>
        <w:numPr>
          <w:ilvl w:val="0"/>
          <w:numId w:val="26"/>
        </w:numPr>
        <w:pBdr>
          <w:top w:val="single" w:sz="4" w:space="1" w:color="auto"/>
          <w:left w:val="single" w:sz="4" w:space="4" w:color="auto"/>
          <w:bottom w:val="single" w:sz="4" w:space="1" w:color="auto"/>
          <w:right w:val="single" w:sz="4" w:space="4" w:color="auto"/>
        </w:pBdr>
      </w:pPr>
      <w:r>
        <w:rPr>
          <w:szCs w:val="20"/>
        </w:rPr>
        <w:t>E</w:t>
      </w:r>
      <w:r w:rsidRPr="008F2805">
        <w:rPr>
          <w:szCs w:val="20"/>
        </w:rPr>
        <w:t xml:space="preserve">vent-triggers for reporting </w:t>
      </w:r>
      <w:r w:rsidRPr="00F35F8E">
        <w:rPr>
          <w:szCs w:val="20"/>
        </w:rPr>
        <w:t xml:space="preserve">on the information about </w:t>
      </w:r>
      <w:r w:rsidRPr="008F2805">
        <w:rPr>
          <w:szCs w:val="20"/>
        </w:rPr>
        <w:t>UE specific TA in connected mode i</w:t>
      </w:r>
      <w:r>
        <w:rPr>
          <w:szCs w:val="20"/>
        </w:rPr>
        <w:t>s supported. FFS on the details</w:t>
      </w:r>
      <w:r>
        <w:t xml:space="preserve">. </w:t>
      </w:r>
      <w:r>
        <w:rPr>
          <w:rFonts w:cs="Arial"/>
          <w:color w:val="000000"/>
          <w:szCs w:val="20"/>
          <w:shd w:val="clear" w:color="auto" w:fill="FFFFFF"/>
        </w:rPr>
        <w:t>C</w:t>
      </w:r>
      <w:r w:rsidRPr="005F7171">
        <w:rPr>
          <w:rFonts w:cs="Arial"/>
          <w:color w:val="000000"/>
          <w:szCs w:val="20"/>
          <w:shd w:val="clear" w:color="auto" w:fill="FFFFFF"/>
        </w:rPr>
        <w:t xml:space="preserve">onfirmation by RAN1 is </w:t>
      </w:r>
      <w:r>
        <w:rPr>
          <w:rFonts w:cs="Arial"/>
          <w:color w:val="000000"/>
          <w:szCs w:val="20"/>
          <w:shd w:val="clear" w:color="auto" w:fill="FFFFFF"/>
        </w:rPr>
        <w:t xml:space="preserve">also </w:t>
      </w:r>
      <w:r w:rsidRPr="005F7171">
        <w:rPr>
          <w:rFonts w:cs="Arial"/>
          <w:color w:val="000000"/>
          <w:szCs w:val="20"/>
          <w:shd w:val="clear" w:color="auto" w:fill="FFFFFF"/>
        </w:rPr>
        <w:t>needed</w:t>
      </w:r>
    </w:p>
    <w:p w14:paraId="073750A3" w14:textId="77777777" w:rsidR="005464CC" w:rsidRPr="00B34668" w:rsidRDefault="005464CC" w:rsidP="005464CC">
      <w:pPr>
        <w:pStyle w:val="Doc-text2"/>
        <w:numPr>
          <w:ilvl w:val="0"/>
          <w:numId w:val="26"/>
        </w:numPr>
        <w:pBdr>
          <w:top w:val="single" w:sz="4" w:space="1" w:color="auto"/>
          <w:left w:val="single" w:sz="4" w:space="4" w:color="auto"/>
          <w:bottom w:val="single" w:sz="4" w:space="1" w:color="auto"/>
          <w:right w:val="single" w:sz="4" w:space="4" w:color="auto"/>
        </w:pBdr>
      </w:pPr>
      <w:r>
        <w:rPr>
          <w:rFonts w:cs="Arial"/>
          <w:bCs/>
          <w:color w:val="000000"/>
          <w:szCs w:val="20"/>
          <w:shd w:val="clear" w:color="auto" w:fill="FFFFFF"/>
        </w:rPr>
        <w:t>If configured, the UE shall</w:t>
      </w:r>
      <w:r w:rsidRPr="00082881">
        <w:rPr>
          <w:rFonts w:cs="Arial"/>
          <w:bCs/>
          <w:color w:val="000000"/>
          <w:szCs w:val="20"/>
          <w:shd w:val="clear" w:color="auto" w:fill="FFFFFF"/>
        </w:rPr>
        <w:t xml:space="preserve"> report information of the UE specific TA </w:t>
      </w:r>
      <w:r w:rsidRPr="00082881">
        <w:rPr>
          <w:rFonts w:cs="Arial"/>
          <w:bCs/>
          <w:szCs w:val="20"/>
          <w:shd w:val="clear" w:color="auto" w:fill="FFFFFF"/>
        </w:rPr>
        <w:t>pre-compensation</w:t>
      </w:r>
      <w:r w:rsidRPr="00082881">
        <w:rPr>
          <w:rStyle w:val="apple-converted-space"/>
          <w:rFonts w:cs="Arial"/>
          <w:bCs/>
          <w:shd w:val="clear" w:color="auto" w:fill="FFFFFF"/>
        </w:rPr>
        <w:t> </w:t>
      </w:r>
      <w:r w:rsidRPr="00082881">
        <w:rPr>
          <w:rFonts w:cs="Arial"/>
          <w:bCs/>
          <w:color w:val="000000"/>
          <w:szCs w:val="20"/>
          <w:shd w:val="clear" w:color="auto" w:fill="FFFFFF"/>
        </w:rPr>
        <w:t>to the target cell during the random access</w:t>
      </w:r>
      <w:r>
        <w:rPr>
          <w:rStyle w:val="apple-converted-space"/>
          <w:rFonts w:cs="Arial"/>
          <w:bCs/>
          <w:color w:val="000000"/>
          <w:shd w:val="clear" w:color="auto" w:fill="FFFFFF"/>
        </w:rPr>
        <w:t>.</w:t>
      </w:r>
      <w:r w:rsidRPr="00082881">
        <w:rPr>
          <w:rFonts w:cs="Arial"/>
          <w:bCs/>
          <w:szCs w:val="20"/>
          <w:shd w:val="clear" w:color="auto" w:fill="FFFFFF"/>
        </w:rPr>
        <w:t xml:space="preserve"> FFS </w:t>
      </w:r>
      <w:r>
        <w:rPr>
          <w:rFonts w:cs="Arial"/>
          <w:bCs/>
          <w:szCs w:val="20"/>
          <w:shd w:val="clear" w:color="auto" w:fill="FFFFFF"/>
        </w:rPr>
        <w:t xml:space="preserve">if </w:t>
      </w:r>
      <w:r w:rsidRPr="00082881">
        <w:rPr>
          <w:rFonts w:cs="Arial"/>
          <w:bCs/>
          <w:szCs w:val="20"/>
          <w:shd w:val="clear" w:color="auto" w:fill="FFFFFF"/>
        </w:rPr>
        <w:t>a new indication</w:t>
      </w:r>
      <w:r w:rsidRPr="00082881">
        <w:rPr>
          <w:rStyle w:val="apple-converted-space"/>
          <w:rFonts w:cs="Arial"/>
          <w:bCs/>
          <w:shd w:val="clear" w:color="auto" w:fill="FFFFFF"/>
        </w:rPr>
        <w:t> </w:t>
      </w:r>
      <w:r w:rsidRPr="00082881">
        <w:rPr>
          <w:rFonts w:cs="Arial"/>
          <w:bCs/>
          <w:szCs w:val="20"/>
          <w:shd w:val="clear" w:color="auto" w:fill="FFFFFF"/>
        </w:rPr>
        <w:t>in RRC reconfiguration with sync</w:t>
      </w:r>
      <w:r w:rsidRPr="00082881">
        <w:rPr>
          <w:rStyle w:val="apple-converted-space"/>
          <w:rFonts w:cs="Arial"/>
          <w:bCs/>
          <w:shd w:val="clear" w:color="auto" w:fill="FFFFFF"/>
        </w:rPr>
        <w:t> </w:t>
      </w:r>
      <w:r>
        <w:rPr>
          <w:rStyle w:val="apple-converted-space"/>
          <w:rFonts w:cs="Arial"/>
          <w:bCs/>
          <w:shd w:val="clear" w:color="auto" w:fill="FFFFFF"/>
        </w:rPr>
        <w:t xml:space="preserve">is needed </w:t>
      </w:r>
      <w:r w:rsidRPr="00082881">
        <w:rPr>
          <w:rFonts w:cs="Arial"/>
          <w:bCs/>
          <w:szCs w:val="20"/>
          <w:shd w:val="clear" w:color="auto" w:fill="FFFFFF"/>
        </w:rPr>
        <w:t>or not</w:t>
      </w:r>
      <w:r>
        <w:rPr>
          <w:rFonts w:cs="Arial"/>
          <w:bCs/>
          <w:szCs w:val="20"/>
          <w:shd w:val="clear" w:color="auto" w:fill="FFFFFF"/>
        </w:rPr>
        <w:t xml:space="preserve"> (besides the </w:t>
      </w:r>
      <w:r>
        <w:rPr>
          <w:rFonts w:cs="Arial"/>
          <w:color w:val="000000"/>
          <w:szCs w:val="20"/>
          <w:shd w:val="clear" w:color="auto" w:fill="FFFFFF"/>
        </w:rPr>
        <w:t xml:space="preserve">SIB indication </w:t>
      </w:r>
      <w:r>
        <w:rPr>
          <w:rFonts w:cs="Arial"/>
          <w:bCs/>
          <w:szCs w:val="20"/>
          <w:shd w:val="clear" w:color="auto" w:fill="FFFFFF"/>
        </w:rPr>
        <w:t xml:space="preserve">carried in HO command </w:t>
      </w:r>
      <w:r>
        <w:rPr>
          <w:rFonts w:cs="Arial"/>
          <w:color w:val="000000"/>
          <w:szCs w:val="20"/>
          <w:shd w:val="clear" w:color="auto" w:fill="FFFFFF"/>
        </w:rPr>
        <w:t>on whether TA report is enabled/disabled in the target</w:t>
      </w:r>
      <w:r w:rsidRPr="00B42B51">
        <w:rPr>
          <w:rFonts w:cs="Arial"/>
          <w:color w:val="000000"/>
          <w:szCs w:val="20"/>
          <w:shd w:val="clear" w:color="auto" w:fill="FFFFFF"/>
        </w:rPr>
        <w:t xml:space="preserve"> cell</w:t>
      </w:r>
      <w:r>
        <w:rPr>
          <w:rFonts w:cs="Arial"/>
          <w:color w:val="000000"/>
          <w:szCs w:val="20"/>
          <w:shd w:val="clear" w:color="auto" w:fill="FFFFFF"/>
        </w:rPr>
        <w:t>)</w:t>
      </w:r>
      <w:r w:rsidRPr="00082881">
        <w:rPr>
          <w:rFonts w:cs="Arial"/>
          <w:bCs/>
          <w:szCs w:val="20"/>
          <w:shd w:val="clear" w:color="auto" w:fill="FFFFFF"/>
        </w:rPr>
        <w:t>.</w:t>
      </w:r>
    </w:p>
    <w:p w14:paraId="701D2A05" w14:textId="77777777" w:rsidR="005464CC" w:rsidRDefault="005464CC" w:rsidP="005464CC">
      <w:pPr>
        <w:pStyle w:val="Doc-text2"/>
        <w:numPr>
          <w:ilvl w:val="0"/>
          <w:numId w:val="26"/>
        </w:numPr>
        <w:pBdr>
          <w:top w:val="single" w:sz="4" w:space="1" w:color="auto"/>
          <w:left w:val="single" w:sz="4" w:space="4" w:color="auto"/>
          <w:bottom w:val="single" w:sz="4" w:space="1" w:color="auto"/>
          <w:right w:val="single" w:sz="4" w:space="4" w:color="auto"/>
        </w:pBdr>
      </w:pPr>
      <w:r>
        <w:t>Information about UE specific TA pre-compensation is not reported in RA procedures triggered due to “Request for Other SI”</w:t>
      </w:r>
    </w:p>
    <w:p w14:paraId="29E1F37C" w14:textId="77777777" w:rsidR="005464CC" w:rsidRDefault="005464CC" w:rsidP="005464CC">
      <w:pPr>
        <w:pStyle w:val="Doc-text2"/>
      </w:pPr>
    </w:p>
    <w:p w14:paraId="5C46A4A7" w14:textId="77777777" w:rsidR="005464CC" w:rsidRDefault="005464CC" w:rsidP="005464CC">
      <w:pPr>
        <w:pStyle w:val="Doc-text2"/>
        <w:pBdr>
          <w:top w:val="single" w:sz="4" w:space="1" w:color="auto"/>
          <w:left w:val="single" w:sz="4" w:space="4" w:color="auto"/>
          <w:bottom w:val="single" w:sz="4" w:space="1" w:color="auto"/>
          <w:right w:val="single" w:sz="4" w:space="4" w:color="auto"/>
        </w:pBdr>
      </w:pPr>
      <w:r>
        <w:t>Agreements via email - from offline 106 second round:</w:t>
      </w:r>
    </w:p>
    <w:p w14:paraId="1D2774E2" w14:textId="77777777" w:rsidR="005464CC" w:rsidRDefault="005464CC" w:rsidP="005464CC">
      <w:pPr>
        <w:pStyle w:val="Doc-text2"/>
        <w:numPr>
          <w:ilvl w:val="0"/>
          <w:numId w:val="27"/>
        </w:numPr>
        <w:pBdr>
          <w:top w:val="single" w:sz="4" w:space="1" w:color="auto"/>
          <w:left w:val="single" w:sz="4" w:space="4" w:color="auto"/>
          <w:bottom w:val="single" w:sz="4" w:space="1" w:color="auto"/>
          <w:right w:val="single" w:sz="4" w:space="4" w:color="auto"/>
        </w:pBdr>
      </w:pPr>
      <w:r w:rsidRPr="00EA50C0">
        <w:t>The event-triggers for reporting information about UE specific TA are based on TA values (confirmation from RAN1 is needed</w:t>
      </w:r>
      <w:r>
        <w:t>)</w:t>
      </w:r>
    </w:p>
    <w:p w14:paraId="0DBBD041" w14:textId="77777777" w:rsidR="005464CC" w:rsidRDefault="005464CC" w:rsidP="005464CC">
      <w:pPr>
        <w:pStyle w:val="Doc-text2"/>
        <w:numPr>
          <w:ilvl w:val="0"/>
          <w:numId w:val="27"/>
        </w:numPr>
        <w:pBdr>
          <w:top w:val="single" w:sz="4" w:space="1" w:color="auto"/>
          <w:left w:val="single" w:sz="4" w:space="4" w:color="auto"/>
          <w:bottom w:val="single" w:sz="4" w:space="1" w:color="auto"/>
          <w:right w:val="single" w:sz="4" w:space="4" w:color="auto"/>
        </w:pBdr>
      </w:pPr>
      <w:r>
        <w:t>A TA offset threshold can be used for event-triggered reporting, at least the offset threshold can be between current information about UE specific TA and the last successfully reported information about UE specific TA</w:t>
      </w:r>
    </w:p>
    <w:p w14:paraId="79311265" w14:textId="77777777" w:rsidR="005464CC" w:rsidRDefault="005464CC" w:rsidP="005464CC">
      <w:pPr>
        <w:pStyle w:val="Doc-text2"/>
        <w:numPr>
          <w:ilvl w:val="0"/>
          <w:numId w:val="27"/>
        </w:numPr>
        <w:pBdr>
          <w:top w:val="single" w:sz="4" w:space="1" w:color="auto"/>
          <w:left w:val="single" w:sz="4" w:space="4" w:color="auto"/>
          <w:bottom w:val="single" w:sz="4" w:space="1" w:color="auto"/>
          <w:right w:val="single" w:sz="4" w:space="4" w:color="auto"/>
        </w:pBdr>
      </w:pPr>
      <w:r>
        <w:t>The event-triggers for reporting information about UE specific TA based on time threshold is not supported in NTN.</w:t>
      </w:r>
    </w:p>
    <w:p w14:paraId="6A9BA327" w14:textId="77777777" w:rsidR="005464CC" w:rsidRDefault="005464CC" w:rsidP="005464CC">
      <w:pPr>
        <w:pStyle w:val="Doc-text2"/>
        <w:numPr>
          <w:ilvl w:val="0"/>
          <w:numId w:val="27"/>
        </w:numPr>
        <w:pBdr>
          <w:top w:val="single" w:sz="4" w:space="1" w:color="auto"/>
          <w:left w:val="single" w:sz="4" w:space="4" w:color="auto"/>
          <w:bottom w:val="single" w:sz="4" w:space="1" w:color="auto"/>
          <w:right w:val="single" w:sz="4" w:space="4" w:color="auto"/>
        </w:pBdr>
      </w:pPr>
      <w:r>
        <w:t>No new indication in RRC reconfiguration with sync is needed to configure the UE to report information about UE specific TA in handover procedure (besides the SIB indication carried in HO command on whether TA report is enabled/disabled in the target cell).</w:t>
      </w:r>
    </w:p>
    <w:p w14:paraId="6FCEEFBF" w14:textId="77777777" w:rsidR="005464CC" w:rsidRDefault="005464CC" w:rsidP="005464CC"/>
    <w:p w14:paraId="70D077C2" w14:textId="77777777" w:rsidR="005464CC" w:rsidRDefault="005464CC" w:rsidP="005464CC">
      <w:pPr>
        <w:pStyle w:val="Doc-text2"/>
        <w:pBdr>
          <w:top w:val="single" w:sz="4" w:space="1" w:color="auto"/>
          <w:left w:val="single" w:sz="4" w:space="4" w:color="auto"/>
          <w:bottom w:val="single" w:sz="4" w:space="1" w:color="auto"/>
          <w:right w:val="single" w:sz="4" w:space="4" w:color="auto"/>
        </w:pBdr>
      </w:pPr>
      <w:r>
        <w:t>Agreements via email - from offline 106 third round:</w:t>
      </w:r>
    </w:p>
    <w:p w14:paraId="088F339C" w14:textId="77777777" w:rsidR="005464CC" w:rsidRDefault="005464CC" w:rsidP="005464CC">
      <w:pPr>
        <w:pStyle w:val="Doc-text2"/>
        <w:numPr>
          <w:ilvl w:val="0"/>
          <w:numId w:val="28"/>
        </w:numPr>
        <w:pBdr>
          <w:top w:val="single" w:sz="4" w:space="1" w:color="auto"/>
          <w:left w:val="single" w:sz="4" w:space="4" w:color="auto"/>
          <w:bottom w:val="single" w:sz="4" w:space="1" w:color="auto"/>
          <w:right w:val="single" w:sz="4" w:space="4" w:color="auto"/>
        </w:pBdr>
      </w:pPr>
      <w:r>
        <w:t>Under the work assumption "the UE location information cannot be reported in connected mode", the content of UE specific TA reported in connected mode is UE specific TA pre-compensation(for the details of the TA value, confirmation from RAN1 is needed).</w:t>
      </w:r>
    </w:p>
    <w:p w14:paraId="78BB8AF6" w14:textId="77777777" w:rsidR="005464CC" w:rsidRDefault="005464CC" w:rsidP="005464CC">
      <w:pPr>
        <w:pStyle w:val="Doc-text2"/>
        <w:numPr>
          <w:ilvl w:val="0"/>
          <w:numId w:val="28"/>
        </w:numPr>
        <w:pBdr>
          <w:top w:val="single" w:sz="4" w:space="1" w:color="auto"/>
          <w:left w:val="single" w:sz="4" w:space="4" w:color="auto"/>
          <w:bottom w:val="single" w:sz="4" w:space="1" w:color="auto"/>
          <w:right w:val="single" w:sz="4" w:space="4" w:color="auto"/>
        </w:pBdr>
      </w:pPr>
      <w:r>
        <w:t>If the reported content of information about UE specific TA is UE location information in connected mode, RRC signalling is used to report.</w:t>
      </w:r>
    </w:p>
    <w:p w14:paraId="4DCEEE69" w14:textId="77777777" w:rsidR="005464CC" w:rsidRDefault="005464CC" w:rsidP="005464CC"/>
    <w:p w14:paraId="169D137B" w14:textId="77777777" w:rsidR="005464CC" w:rsidRDefault="005464CC" w:rsidP="005464CC">
      <w:pPr>
        <w:pStyle w:val="Doc-text2"/>
        <w:pBdr>
          <w:top w:val="single" w:sz="4" w:space="1" w:color="auto"/>
          <w:left w:val="single" w:sz="4" w:space="4" w:color="auto"/>
          <w:bottom w:val="single" w:sz="4" w:space="1" w:color="auto"/>
          <w:right w:val="single" w:sz="4" w:space="4" w:color="auto"/>
        </w:pBdr>
      </w:pPr>
      <w:r>
        <w:t>Agreements online:</w:t>
      </w:r>
    </w:p>
    <w:p w14:paraId="2301074A" w14:textId="77777777" w:rsidR="005464CC" w:rsidRDefault="005464CC" w:rsidP="005464CC">
      <w:pPr>
        <w:pStyle w:val="Doc-text2"/>
        <w:numPr>
          <w:ilvl w:val="0"/>
          <w:numId w:val="29"/>
        </w:numPr>
        <w:pBdr>
          <w:top w:val="single" w:sz="4" w:space="1" w:color="auto"/>
          <w:left w:val="single" w:sz="4" w:space="4" w:color="auto"/>
          <w:bottom w:val="single" w:sz="4" w:space="1" w:color="auto"/>
          <w:right w:val="single" w:sz="4" w:space="4" w:color="auto"/>
        </w:pBdr>
      </w:pPr>
      <w:r>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79815ECC" w14:textId="77777777" w:rsidR="005464CC" w:rsidRDefault="005464CC" w:rsidP="005464CC">
      <w:pPr>
        <w:pStyle w:val="Doc-text2"/>
        <w:pBdr>
          <w:top w:val="single" w:sz="4" w:space="1" w:color="auto"/>
          <w:left w:val="single" w:sz="4" w:space="4" w:color="auto"/>
          <w:bottom w:val="single" w:sz="4" w:space="1" w:color="auto"/>
          <w:right w:val="single" w:sz="4" w:space="4" w:color="auto"/>
        </w:pBdr>
        <w:ind w:left="1259" w:firstLine="0"/>
      </w:pPr>
      <w:r>
        <w:t>Working Assumption:</w:t>
      </w:r>
    </w:p>
    <w:p w14:paraId="731EABCC" w14:textId="77777777" w:rsidR="005464CC" w:rsidRDefault="005464CC" w:rsidP="005464CC">
      <w:pPr>
        <w:pStyle w:val="Doc-text2"/>
        <w:numPr>
          <w:ilvl w:val="0"/>
          <w:numId w:val="30"/>
        </w:numPr>
        <w:pBdr>
          <w:top w:val="single" w:sz="4" w:space="1" w:color="auto"/>
          <w:left w:val="single" w:sz="4" w:space="4" w:color="auto"/>
          <w:bottom w:val="single" w:sz="4" w:space="1" w:color="auto"/>
          <w:right w:val="single" w:sz="4" w:space="4" w:color="auto"/>
        </w:pBdr>
      </w:pPr>
      <w:r>
        <w:t>If the reported content of information about UE specific TA is TA pre-compensation value in connected mode, MAC CE is used to report</w:t>
      </w:r>
    </w:p>
    <w:p w14:paraId="7AB19C54" w14:textId="24ABF15F" w:rsidR="005464CC" w:rsidRDefault="005464CC" w:rsidP="005464CC"/>
    <w:p w14:paraId="73579F27" w14:textId="66C194BE" w:rsidR="00942A1E" w:rsidRDefault="00942A1E" w:rsidP="005464CC">
      <w:r>
        <w:t>While at RAN2#116 the following was agreed:</w:t>
      </w:r>
    </w:p>
    <w:p w14:paraId="38EB24A5" w14:textId="77777777" w:rsidR="00942A1E" w:rsidRDefault="00942A1E" w:rsidP="00942A1E">
      <w:pPr>
        <w:pStyle w:val="Doc-text2"/>
        <w:pBdr>
          <w:top w:val="single" w:sz="4" w:space="1" w:color="auto"/>
          <w:left w:val="single" w:sz="4" w:space="4" w:color="auto"/>
          <w:bottom w:val="single" w:sz="4" w:space="1" w:color="auto"/>
          <w:right w:val="single" w:sz="4" w:space="4" w:color="auto"/>
        </w:pBdr>
      </w:pPr>
      <w:r>
        <w:t>Agreements via email - from offline 106:</w:t>
      </w:r>
    </w:p>
    <w:p w14:paraId="2FE996B1" w14:textId="77777777" w:rsidR="00942A1E" w:rsidRDefault="00942A1E" w:rsidP="00942A1E">
      <w:pPr>
        <w:pStyle w:val="Doc-text2"/>
        <w:numPr>
          <w:ilvl w:val="0"/>
          <w:numId w:val="44"/>
        </w:numPr>
        <w:pBdr>
          <w:top w:val="single" w:sz="4" w:space="1" w:color="auto"/>
          <w:left w:val="single" w:sz="4" w:space="4" w:color="auto"/>
          <w:bottom w:val="single" w:sz="4" w:space="1" w:color="auto"/>
          <w:right w:val="single" w:sz="4" w:space="4" w:color="auto"/>
        </w:pBdr>
      </w:pPr>
      <w:r>
        <w:t xml:space="preserve">Do </w:t>
      </w:r>
      <w:r w:rsidRPr="00EA62F2">
        <w:t>not mandate Msg3/MsgA or Msg5 to include TA report MAC CE, and whether it can be included depends on the TB size of Msg3/MsgA or Msg5. No spec change is needed for this</w:t>
      </w:r>
    </w:p>
    <w:p w14:paraId="2237CD2F" w14:textId="77777777" w:rsidR="00942A1E" w:rsidRDefault="00942A1E" w:rsidP="005464CC"/>
    <w:p w14:paraId="44EE0AD7" w14:textId="77777777" w:rsidR="00942A1E" w:rsidRDefault="00942A1E" w:rsidP="00942A1E">
      <w:pPr>
        <w:pStyle w:val="Doc-text2"/>
        <w:numPr>
          <w:ilvl w:val="0"/>
          <w:numId w:val="44"/>
        </w:numPr>
        <w:pBdr>
          <w:top w:val="single" w:sz="4" w:space="1" w:color="auto"/>
          <w:left w:val="single" w:sz="4" w:space="4" w:color="auto"/>
          <w:bottom w:val="single" w:sz="4" w:space="1" w:color="auto"/>
          <w:right w:val="single" w:sz="4" w:space="4" w:color="auto"/>
        </w:pBdr>
      </w:pPr>
      <w:r>
        <w:t>Postpone the discussion on the size of the TA report MAC CE until RAN2 concludes on the content of TA report.</w:t>
      </w:r>
    </w:p>
    <w:p w14:paraId="779EDDB2" w14:textId="442F779C" w:rsidR="00942A1E" w:rsidRDefault="00942A1E" w:rsidP="005464CC"/>
    <w:p w14:paraId="0CAC2E41" w14:textId="77777777" w:rsidR="00942A1E" w:rsidRDefault="00942A1E" w:rsidP="00942A1E">
      <w:pPr>
        <w:pStyle w:val="Doc-text2"/>
        <w:numPr>
          <w:ilvl w:val="0"/>
          <w:numId w:val="42"/>
        </w:numPr>
        <w:pBdr>
          <w:top w:val="single" w:sz="4" w:space="1" w:color="auto"/>
          <w:left w:val="single" w:sz="4" w:space="4" w:color="auto"/>
          <w:bottom w:val="single" w:sz="4" w:space="1" w:color="auto"/>
          <w:right w:val="single" w:sz="4" w:space="4" w:color="auto"/>
        </w:pBdr>
      </w:pPr>
      <w:r>
        <w:t>If the reported content of information about UE specific TA is TA pre-compensation value in connected mode, MAC CE is used to report</w:t>
      </w:r>
    </w:p>
    <w:p w14:paraId="6C0C677F" w14:textId="77777777" w:rsidR="00942A1E" w:rsidRDefault="00942A1E" w:rsidP="005464CC"/>
    <w:p w14:paraId="3D90BF4D" w14:textId="734E5B07" w:rsidR="009A6697" w:rsidRDefault="009A6697" w:rsidP="0023194D">
      <w:pPr>
        <w:rPr>
          <w:lang w:eastAsia="zh-CN"/>
        </w:rPr>
      </w:pPr>
      <w:r>
        <w:rPr>
          <w:lang w:eastAsia="zh-CN"/>
        </w:rPr>
        <w:t xml:space="preserve">At RAN1#106 the following was agreed: </w:t>
      </w:r>
    </w:p>
    <w:p w14:paraId="0BF0F006" w14:textId="77777777" w:rsidR="009A6697" w:rsidRDefault="009A6697" w:rsidP="009A6697">
      <w:pPr>
        <w:rPr>
          <w:lang w:eastAsia="x-none"/>
        </w:rPr>
      </w:pPr>
      <w:r>
        <w:rPr>
          <w:highlight w:val="green"/>
          <w:lang w:eastAsia="x-none"/>
        </w:rPr>
        <w:t>Agreement:</w:t>
      </w:r>
      <w:r>
        <w:rPr>
          <w:lang w:eastAsia="x-none"/>
        </w:rPr>
        <w:t xml:space="preserve"> </w:t>
      </w:r>
    </w:p>
    <w:p w14:paraId="3534BFD7" w14:textId="77777777" w:rsidR="009A6697" w:rsidRDefault="009A6697" w:rsidP="009A6697">
      <w:pPr>
        <w:numPr>
          <w:ilvl w:val="0"/>
          <w:numId w:val="35"/>
        </w:numPr>
        <w:spacing w:after="0" w:line="240" w:lineRule="auto"/>
        <w:rPr>
          <w:lang w:eastAsia="x-none"/>
        </w:rPr>
      </w:pPr>
      <w:r>
        <w:rPr>
          <w:lang w:eastAsia="x-none"/>
        </w:rPr>
        <w:t>The UE-specific K_offset can be provided and updated by network with MAC CE.</w:t>
      </w:r>
    </w:p>
    <w:p w14:paraId="43B074A5" w14:textId="77777777" w:rsidR="009A6697" w:rsidRDefault="009A6697" w:rsidP="009A6697">
      <w:pPr>
        <w:numPr>
          <w:ilvl w:val="0"/>
          <w:numId w:val="35"/>
        </w:numPr>
        <w:spacing w:after="0" w:line="240" w:lineRule="auto"/>
        <w:rPr>
          <w:lang w:eastAsia="x-none"/>
        </w:rPr>
      </w:pPr>
      <w:r>
        <w:rPr>
          <w:lang w:eastAsia="x-none"/>
        </w:rPr>
        <w:t>FFS: UE can be provided and updated by network with a UE-specific K_offset in RRC reconfiguration</w:t>
      </w:r>
    </w:p>
    <w:p w14:paraId="4655FAFE" w14:textId="43714998" w:rsidR="009A6697" w:rsidRDefault="009A6697" w:rsidP="008627D3">
      <w:pPr>
        <w:numPr>
          <w:ilvl w:val="1"/>
          <w:numId w:val="35"/>
        </w:numPr>
        <w:spacing w:after="0" w:line="240" w:lineRule="auto"/>
        <w:rPr>
          <w:lang w:eastAsia="zh-CN"/>
        </w:rPr>
      </w:pPr>
      <w:r>
        <w:rPr>
          <w:lang w:eastAsia="x-none"/>
        </w:rPr>
        <w:t>FFS: Details on whether and how the two solutions work together</w:t>
      </w:r>
    </w:p>
    <w:p w14:paraId="1D14956F" w14:textId="77777777" w:rsidR="009A6697" w:rsidRDefault="009A6697" w:rsidP="009A6697">
      <w:pPr>
        <w:rPr>
          <w:lang w:eastAsia="x-none"/>
        </w:rPr>
      </w:pPr>
      <w:r>
        <w:rPr>
          <w:highlight w:val="green"/>
          <w:lang w:eastAsia="x-none"/>
        </w:rPr>
        <w:t>Agreement:</w:t>
      </w:r>
    </w:p>
    <w:p w14:paraId="39B58556" w14:textId="251B9759" w:rsidR="009A6697" w:rsidRDefault="009A6697" w:rsidP="009A6697">
      <w:pPr>
        <w:jc w:val="both"/>
        <w:rPr>
          <w:rFonts w:eastAsia="SimSun" w:cs="Times"/>
          <w:strike/>
          <w:szCs w:val="20"/>
          <w:lang w:eastAsia="x-none"/>
        </w:rPr>
      </w:pPr>
      <w:r>
        <w:rPr>
          <w:rFonts w:cs="Times"/>
          <w:szCs w:val="20"/>
          <w:lang w:eastAsia="ja-JP"/>
        </w:rPr>
        <w:t>For</w:t>
      </w:r>
      <w:r>
        <w:rPr>
          <w:rFonts w:cs="Times"/>
          <w:szCs w:val="20"/>
        </w:rPr>
        <w:t xml:space="preserve"> </w:t>
      </w:r>
      <w:r>
        <w:rPr>
          <w:rFonts w:cs="Times"/>
          <w:szCs w:val="20"/>
          <w:lang w:eastAsia="ja-JP"/>
        </w:rPr>
        <w:t xml:space="preserve">random access procedure initiated by a PDCCH order received in downlink slot </w:t>
      </w:r>
      <w:r>
        <w:rPr>
          <w:rFonts w:cs="Times"/>
          <w:szCs w:val="20"/>
          <w:lang w:eastAsia="ja-JP"/>
        </w:rPr>
        <w:fldChar w:fldCharType="begin"/>
      </w:r>
      <w:r>
        <w:rPr>
          <w:rFonts w:cs="Times"/>
          <w:szCs w:val="20"/>
          <w:lang w:eastAsia="ja-JP"/>
        </w:rPr>
        <w:instrText xml:space="preserve"> QUOTE </w:instrText>
      </w:r>
      <w:r w:rsidR="0042396A">
        <w:rPr>
          <w:rFonts w:cs="Times"/>
          <w:position w:val="-5"/>
          <w:szCs w:val="20"/>
        </w:rPr>
        <w:pict w14:anchorId="7522FE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pt;height:13.6pt" equationxml="&lt;">
            <v:imagedata r:id="rId11" o:title="" chromakey="white"/>
          </v:shape>
        </w:pict>
      </w:r>
      <w:r>
        <w:rPr>
          <w:rFonts w:cs="Times"/>
          <w:szCs w:val="20"/>
          <w:lang w:eastAsia="ja-JP"/>
        </w:rPr>
        <w:instrText xml:space="preserve"> </w:instrText>
      </w:r>
      <w:r>
        <w:rPr>
          <w:rFonts w:cs="Times"/>
          <w:szCs w:val="20"/>
          <w:lang w:eastAsia="ja-JP"/>
        </w:rPr>
        <w:fldChar w:fldCharType="separate"/>
      </w:r>
      <w:r w:rsidR="0042396A">
        <w:rPr>
          <w:rFonts w:cs="Times"/>
          <w:position w:val="-5"/>
          <w:szCs w:val="20"/>
        </w:rPr>
        <w:pict w14:anchorId="49B05822">
          <v:shape id="_x0000_i1026" type="#_x0000_t75" style="width:6.8pt;height:13.6pt" equationxml="&lt;">
            <v:imagedata r:id="rId11" o:title="" chromakey="white"/>
          </v:shape>
        </w:pict>
      </w:r>
      <w:r>
        <w:rPr>
          <w:rFonts w:cs="Times"/>
          <w:szCs w:val="20"/>
          <w:lang w:eastAsia="ja-JP"/>
        </w:rPr>
        <w:fldChar w:fldCharType="end"/>
      </w:r>
      <w:r>
        <w:rPr>
          <w:rFonts w:cs="Times"/>
          <w:szCs w:val="20"/>
          <w:lang w:eastAsia="ja-JP"/>
        </w:rPr>
        <w:t xml:space="preserve">, UE determines the </w:t>
      </w:r>
      <w:r>
        <w:rPr>
          <w:rFonts w:cs="Times"/>
          <w:szCs w:val="20"/>
        </w:rPr>
        <w:t xml:space="preserve">next available PRACH occasion after uplink slot </w:t>
      </w:r>
      <w:r>
        <w:rPr>
          <w:rFonts w:cs="Times"/>
          <w:szCs w:val="20"/>
        </w:rPr>
        <w:fldChar w:fldCharType="begin"/>
      </w:r>
      <w:r>
        <w:rPr>
          <w:rFonts w:cs="Times"/>
          <w:szCs w:val="20"/>
        </w:rPr>
        <w:instrText xml:space="preserve"> QUOTE </w:instrText>
      </w:r>
      <w:r w:rsidR="0042396A">
        <w:rPr>
          <w:rFonts w:cs="Times"/>
          <w:position w:val="-8"/>
          <w:szCs w:val="20"/>
        </w:rPr>
        <w:pict w14:anchorId="3D3A1931">
          <v:shape id="_x0000_i1027" type="#_x0000_t75" style="width:53pt;height:14.25pt" equationxml="&lt;">
            <v:imagedata r:id="rId12" o:title="" chromakey="white"/>
          </v:shape>
        </w:pict>
      </w:r>
      <w:r>
        <w:rPr>
          <w:rFonts w:cs="Times"/>
          <w:szCs w:val="20"/>
        </w:rPr>
        <w:instrText xml:space="preserve"> </w:instrText>
      </w:r>
      <w:r>
        <w:rPr>
          <w:rFonts w:cs="Times"/>
          <w:szCs w:val="20"/>
        </w:rPr>
        <w:fldChar w:fldCharType="separate"/>
      </w:r>
      <w:r w:rsidR="0042396A">
        <w:rPr>
          <w:rFonts w:cs="Times"/>
          <w:position w:val="-8"/>
          <w:szCs w:val="20"/>
        </w:rPr>
        <w:pict w14:anchorId="3222A3A8">
          <v:shape id="_x0000_i1028" type="#_x0000_t75" style="width:53pt;height:14.25pt" equationxml="&lt;">
            <v:imagedata r:id="rId12" o:title="" chromakey="white"/>
          </v:shape>
        </w:pict>
      </w:r>
      <w:r>
        <w:rPr>
          <w:rFonts w:cs="Times"/>
          <w:szCs w:val="20"/>
        </w:rPr>
        <w:fldChar w:fldCharType="end"/>
      </w:r>
      <w:r>
        <w:rPr>
          <w:rFonts w:cs="Times"/>
          <w:szCs w:val="20"/>
        </w:rPr>
        <w:t xml:space="preserve"> to </w:t>
      </w:r>
      <w:r>
        <w:rPr>
          <w:rFonts w:cs="Times"/>
          <w:szCs w:val="20"/>
          <w:lang w:eastAsia="ja-JP"/>
        </w:rPr>
        <w:t>transmit the ordered PRACH.</w:t>
      </w:r>
    </w:p>
    <w:p w14:paraId="03C90F0F" w14:textId="7CB49B68" w:rsidR="009A6697" w:rsidRDefault="009A6697" w:rsidP="009A6697">
      <w:pPr>
        <w:numPr>
          <w:ilvl w:val="0"/>
          <w:numId w:val="36"/>
        </w:numPr>
        <w:spacing w:after="0" w:line="240" w:lineRule="auto"/>
        <w:jc w:val="both"/>
        <w:rPr>
          <w:rFonts w:eastAsia="Batang" w:cs="Times"/>
          <w:szCs w:val="20"/>
        </w:rPr>
      </w:pPr>
      <w:r>
        <w:rPr>
          <w:rFonts w:cs="Times"/>
          <w:szCs w:val="20"/>
        </w:rPr>
        <w:t>Note: The UE’s TA is based on the RAN1#104bis-e agreement on Timing Advance applied by an NR NTN UE given by  </w:t>
      </w:r>
      <w:r>
        <w:rPr>
          <w:rFonts w:cs="Times"/>
          <w:szCs w:val="20"/>
        </w:rPr>
        <w:fldChar w:fldCharType="begin"/>
      </w:r>
      <w:r>
        <w:rPr>
          <w:rFonts w:cs="Times"/>
          <w:szCs w:val="20"/>
        </w:rPr>
        <w:instrText xml:space="preserve"> QUOTE </w:instrText>
      </w:r>
      <w:r w:rsidR="0042396A">
        <w:rPr>
          <w:rFonts w:cs="Times"/>
          <w:position w:val="-9"/>
          <w:szCs w:val="20"/>
        </w:rPr>
        <w:pict w14:anchorId="0F9FEA12">
          <v:shape id="_x0000_i1029" type="#_x0000_t75" style="width:283.25pt;height:15.6pt" equationxml="&lt;">
            <v:imagedata r:id="rId13" o:title="" chromakey="white"/>
          </v:shape>
        </w:pict>
      </w:r>
      <w:r>
        <w:rPr>
          <w:rFonts w:cs="Times"/>
          <w:szCs w:val="20"/>
        </w:rPr>
        <w:instrText xml:space="preserve"> </w:instrText>
      </w:r>
      <w:r>
        <w:rPr>
          <w:rFonts w:cs="Times"/>
          <w:szCs w:val="20"/>
        </w:rPr>
        <w:fldChar w:fldCharType="separate"/>
      </w:r>
      <w:r w:rsidR="0042396A">
        <w:rPr>
          <w:rFonts w:cs="Times"/>
          <w:position w:val="-9"/>
          <w:szCs w:val="20"/>
        </w:rPr>
        <w:pict w14:anchorId="5D3444DC">
          <v:shape id="_x0000_i1030" type="#_x0000_t75" style="width:283.25pt;height:15.6pt" equationxml="&lt;">
            <v:imagedata r:id="rId13" o:title="" chromakey="white"/>
          </v:shape>
        </w:pict>
      </w:r>
      <w:r>
        <w:rPr>
          <w:rFonts w:cs="Times"/>
          <w:szCs w:val="20"/>
        </w:rPr>
        <w:fldChar w:fldCharType="end"/>
      </w:r>
      <w:r>
        <w:rPr>
          <w:rFonts w:cs="Times"/>
          <w:szCs w:val="20"/>
        </w:rPr>
        <w:t xml:space="preserve">, where </w:t>
      </w:r>
      <w:r>
        <w:rPr>
          <w:rFonts w:cs="Times"/>
          <w:szCs w:val="20"/>
        </w:rPr>
        <w:fldChar w:fldCharType="begin"/>
      </w:r>
      <w:r>
        <w:rPr>
          <w:rFonts w:cs="Times"/>
          <w:szCs w:val="20"/>
        </w:rPr>
        <w:instrText xml:space="preserve"> QUOTE </w:instrText>
      </w:r>
      <w:r w:rsidR="0042396A">
        <w:rPr>
          <w:rFonts w:cs="Times"/>
          <w:position w:val="-5"/>
          <w:szCs w:val="20"/>
        </w:rPr>
        <w:pict w14:anchorId="2530DB13">
          <v:shape id="_x0000_i1031" type="#_x0000_t75" style="width:36.7pt;height:13.6pt" equationxml="&lt;">
            <v:imagedata r:id="rId14" o:title="" chromakey="white"/>
          </v:shape>
        </w:pict>
      </w:r>
      <w:r>
        <w:rPr>
          <w:rFonts w:cs="Times"/>
          <w:szCs w:val="20"/>
        </w:rPr>
        <w:instrText xml:space="preserve"> </w:instrText>
      </w:r>
      <w:r>
        <w:rPr>
          <w:rFonts w:cs="Times"/>
          <w:szCs w:val="20"/>
        </w:rPr>
        <w:fldChar w:fldCharType="separate"/>
      </w:r>
      <w:r w:rsidR="0042396A">
        <w:rPr>
          <w:rFonts w:cs="Times"/>
          <w:position w:val="-5"/>
          <w:szCs w:val="20"/>
        </w:rPr>
        <w:pict w14:anchorId="27FEC0DB">
          <v:shape id="_x0000_i1032" type="#_x0000_t75" style="width:36.7pt;height:13.6pt" equationxml="&lt;">
            <v:imagedata r:id="rId14" o:title="" chromakey="white"/>
          </v:shape>
        </w:pict>
      </w:r>
      <w:r>
        <w:rPr>
          <w:rFonts w:cs="Times"/>
          <w:szCs w:val="20"/>
        </w:rPr>
        <w:fldChar w:fldCharType="end"/>
      </w:r>
      <w:r>
        <w:rPr>
          <w:rFonts w:cs="Times"/>
          <w:szCs w:val="20"/>
        </w:rPr>
        <w:t xml:space="preserve"> is assumed for PDCCH ordered PRACH.</w:t>
      </w:r>
    </w:p>
    <w:p w14:paraId="53536B9E" w14:textId="0E05C90D" w:rsidR="009A6697" w:rsidRDefault="009A6697" w:rsidP="009A6697">
      <w:pPr>
        <w:numPr>
          <w:ilvl w:val="0"/>
          <w:numId w:val="36"/>
        </w:numPr>
        <w:spacing w:after="0" w:line="240" w:lineRule="auto"/>
        <w:jc w:val="both"/>
        <w:rPr>
          <w:rFonts w:cs="Times"/>
          <w:szCs w:val="20"/>
          <w:lang w:eastAsia="ja-JP"/>
        </w:rPr>
      </w:pPr>
      <w:r>
        <w:rPr>
          <w:rFonts w:cs="Times"/>
          <w:szCs w:val="20"/>
        </w:rPr>
        <w:t xml:space="preserve">FFS: Which value of </w:t>
      </w:r>
      <w:r>
        <w:rPr>
          <w:rFonts w:cs="Times"/>
          <w:szCs w:val="20"/>
        </w:rPr>
        <w:fldChar w:fldCharType="begin"/>
      </w:r>
      <w:r>
        <w:rPr>
          <w:rFonts w:cs="Times"/>
          <w:szCs w:val="20"/>
        </w:rPr>
        <w:instrText xml:space="preserve"> QUOTE </w:instrText>
      </w:r>
      <w:r w:rsidR="0042396A">
        <w:rPr>
          <w:rFonts w:cs="Times"/>
          <w:position w:val="-8"/>
          <w:szCs w:val="20"/>
        </w:rPr>
        <w:pict w14:anchorId="689FA964">
          <v:shape id="_x0000_i1033" type="#_x0000_t75" style="width:33.95pt;height:14.25pt" equationxml="&lt;">
            <v:imagedata r:id="rId15" o:title="" chromakey="white"/>
          </v:shape>
        </w:pict>
      </w:r>
      <w:r>
        <w:rPr>
          <w:rFonts w:cs="Times"/>
          <w:szCs w:val="20"/>
        </w:rPr>
        <w:instrText xml:space="preserve"> </w:instrText>
      </w:r>
      <w:r>
        <w:rPr>
          <w:rFonts w:cs="Times"/>
          <w:szCs w:val="20"/>
        </w:rPr>
        <w:fldChar w:fldCharType="separate"/>
      </w:r>
      <w:r w:rsidR="0042396A">
        <w:rPr>
          <w:rFonts w:cs="Times"/>
          <w:position w:val="-8"/>
          <w:szCs w:val="20"/>
        </w:rPr>
        <w:pict w14:anchorId="5E189EBE">
          <v:shape id="_x0000_i1034" type="#_x0000_t75" style="width:33.95pt;height:14.25pt" equationxml="&lt;">
            <v:imagedata r:id="rId15" o:title="" chromakey="white"/>
          </v:shape>
        </w:pict>
      </w:r>
      <w:r>
        <w:rPr>
          <w:rFonts w:cs="Times"/>
          <w:szCs w:val="20"/>
        </w:rPr>
        <w:fldChar w:fldCharType="end"/>
      </w:r>
      <w:r>
        <w:rPr>
          <w:rFonts w:cs="Times"/>
          <w:szCs w:val="20"/>
        </w:rPr>
        <w:t xml:space="preserve"> should be applied</w:t>
      </w:r>
    </w:p>
    <w:p w14:paraId="3E49FCA6" w14:textId="653A3E10" w:rsidR="009A6697" w:rsidRDefault="009A6697" w:rsidP="008627D3">
      <w:pPr>
        <w:numPr>
          <w:ilvl w:val="0"/>
          <w:numId w:val="36"/>
        </w:numPr>
        <w:spacing w:after="0" w:line="240" w:lineRule="auto"/>
        <w:jc w:val="both"/>
        <w:rPr>
          <w:lang w:eastAsia="x-none"/>
        </w:rPr>
      </w:pPr>
      <w:r>
        <w:rPr>
          <w:rFonts w:cs="Times"/>
          <w:szCs w:val="20"/>
        </w:rPr>
        <w:t xml:space="preserve">FFS: Whether the </w:t>
      </w:r>
      <w:r>
        <w:rPr>
          <w:rFonts w:cs="Times"/>
          <w:szCs w:val="20"/>
        </w:rPr>
        <w:fldChar w:fldCharType="begin"/>
      </w:r>
      <w:r>
        <w:rPr>
          <w:rFonts w:cs="Times"/>
          <w:szCs w:val="20"/>
        </w:rPr>
        <w:instrText xml:space="preserve"> QUOTE </w:instrText>
      </w:r>
      <w:r w:rsidR="0042396A">
        <w:rPr>
          <w:rFonts w:cs="Times"/>
          <w:position w:val="-8"/>
          <w:szCs w:val="20"/>
        </w:rPr>
        <w:pict w14:anchorId="354ACD4F">
          <v:shape id="_x0000_i1035" type="#_x0000_t75" style="width:53pt;height:14.25pt" equationxml="&lt;">
            <v:imagedata r:id="rId12" o:title="" chromakey="white"/>
          </v:shape>
        </w:pict>
      </w:r>
      <w:r>
        <w:rPr>
          <w:rFonts w:cs="Times"/>
          <w:szCs w:val="20"/>
        </w:rPr>
        <w:instrText xml:space="preserve"> </w:instrText>
      </w:r>
      <w:r>
        <w:rPr>
          <w:rFonts w:cs="Times"/>
          <w:szCs w:val="20"/>
        </w:rPr>
        <w:fldChar w:fldCharType="separate"/>
      </w:r>
      <w:r w:rsidR="0042396A">
        <w:rPr>
          <w:rFonts w:cs="Times"/>
          <w:position w:val="-8"/>
          <w:szCs w:val="20"/>
        </w:rPr>
        <w:pict w14:anchorId="2C3A2C72">
          <v:shape id="_x0000_i1036" type="#_x0000_t75" style="width:53pt;height:14.25pt" equationxml="&lt;">
            <v:imagedata r:id="rId12" o:title="" chromakey="white"/>
          </v:shape>
        </w:pict>
      </w:r>
      <w:r>
        <w:rPr>
          <w:rFonts w:cs="Times"/>
          <w:szCs w:val="20"/>
        </w:rPr>
        <w:fldChar w:fldCharType="end"/>
      </w:r>
      <w:r>
        <w:rPr>
          <w:rFonts w:cs="Times"/>
          <w:szCs w:val="20"/>
        </w:rPr>
        <w:t xml:space="preserve"> timing relationship is impacted by UE behavior within or after the validity duration.</w:t>
      </w:r>
    </w:p>
    <w:p w14:paraId="376E30A4" w14:textId="77777777" w:rsidR="009A6697" w:rsidRDefault="009A6697" w:rsidP="009A6697">
      <w:pPr>
        <w:rPr>
          <w:rFonts w:ascii="Calibri" w:eastAsia="Calibri" w:hAnsi="Calibri"/>
        </w:rPr>
      </w:pPr>
      <w:r>
        <w:rPr>
          <w:highlight w:val="green"/>
        </w:rPr>
        <w:t>Agreement:</w:t>
      </w:r>
    </w:p>
    <w:p w14:paraId="194CD03C" w14:textId="77777777" w:rsidR="009A6697" w:rsidRDefault="009A6697" w:rsidP="009A6697">
      <w:pPr>
        <w:rPr>
          <w:rFonts w:ascii="Times" w:eastAsia="Batang" w:hAnsi="Times"/>
          <w:szCs w:val="24"/>
        </w:rPr>
      </w:pPr>
      <w:r>
        <w:t>The unit of K_offset is number of slots for a given subcarrier spacing.</w:t>
      </w:r>
    </w:p>
    <w:p w14:paraId="6C129820" w14:textId="05F56918" w:rsidR="009A6697" w:rsidRDefault="009A6697" w:rsidP="008627D3">
      <w:pPr>
        <w:pStyle w:val="ListParagraph"/>
        <w:numPr>
          <w:ilvl w:val="0"/>
          <w:numId w:val="37"/>
        </w:numPr>
        <w:rPr>
          <w:rFonts w:eastAsia="Calibri"/>
        </w:rPr>
      </w:pPr>
      <w:r>
        <w:rPr>
          <w:rFonts w:eastAsia="Times New Roman"/>
        </w:rPr>
        <w:t>FFS: one subcarrier spacing value or different subcarrier spacing values for different scenarios.</w:t>
      </w:r>
    </w:p>
    <w:p w14:paraId="20630301" w14:textId="77777777" w:rsidR="009A6697" w:rsidRDefault="009A6697" w:rsidP="009A6697">
      <w:pPr>
        <w:rPr>
          <w:rFonts w:eastAsia="Batang"/>
        </w:rPr>
      </w:pPr>
      <w:r>
        <w:rPr>
          <w:highlight w:val="green"/>
        </w:rPr>
        <w:t>Agreement:</w:t>
      </w:r>
    </w:p>
    <w:p w14:paraId="1F8B8588" w14:textId="59B70352" w:rsidR="009A6697" w:rsidRDefault="009A6697" w:rsidP="009A6697">
      <w:r>
        <w:t>The information of K_mac is carried in system information.</w:t>
      </w:r>
    </w:p>
    <w:p w14:paraId="468E7C83" w14:textId="77777777" w:rsidR="009A6697" w:rsidRDefault="009A6697" w:rsidP="009A6697">
      <w:r>
        <w:rPr>
          <w:highlight w:val="green"/>
        </w:rPr>
        <w:t>Agreement:</w:t>
      </w:r>
    </w:p>
    <w:p w14:paraId="634B79B7" w14:textId="77777777" w:rsidR="009A6697" w:rsidRDefault="009A6697" w:rsidP="009A6697">
      <w:r>
        <w:t>The unit of K_mac is number of slots for a given subcarrier spacing.</w:t>
      </w:r>
    </w:p>
    <w:p w14:paraId="6189504C" w14:textId="77777777" w:rsidR="009A6697" w:rsidRDefault="009A6697" w:rsidP="009A6697">
      <w:pPr>
        <w:pStyle w:val="ListParagraph"/>
        <w:numPr>
          <w:ilvl w:val="0"/>
          <w:numId w:val="37"/>
        </w:numPr>
        <w:rPr>
          <w:rFonts w:eastAsia="Times New Roman"/>
        </w:rPr>
      </w:pPr>
      <w:r>
        <w:rPr>
          <w:rFonts w:eastAsia="Times New Roman"/>
        </w:rPr>
        <w:t>FFS: one subcarrier spacing value or different subcarrier spacing values for different scenarios.</w:t>
      </w:r>
    </w:p>
    <w:p w14:paraId="7B29419E" w14:textId="77777777" w:rsidR="009A6697" w:rsidRDefault="009A6697" w:rsidP="0023194D">
      <w:pPr>
        <w:rPr>
          <w:lang w:eastAsia="zh-CN"/>
        </w:rPr>
      </w:pPr>
    </w:p>
    <w:p w14:paraId="564711D5" w14:textId="2DFAB25D" w:rsidR="009A6697" w:rsidRDefault="00942A1E" w:rsidP="0023194D">
      <w:pPr>
        <w:rPr>
          <w:lang w:eastAsia="zh-CN"/>
        </w:rPr>
      </w:pPr>
      <w:r>
        <w:rPr>
          <w:lang w:eastAsia="zh-CN"/>
        </w:rPr>
        <w:t>And</w:t>
      </w:r>
      <w:r w:rsidR="00CD2976">
        <w:rPr>
          <w:lang w:eastAsia="zh-CN"/>
        </w:rPr>
        <w:t>, a</w:t>
      </w:r>
      <w:r w:rsidR="009A6697">
        <w:rPr>
          <w:lang w:eastAsia="zh-CN"/>
        </w:rPr>
        <w:t xml:space="preserve">t RAN1#106bis the following was agreed: </w:t>
      </w:r>
    </w:p>
    <w:p w14:paraId="6B3D9CD5" w14:textId="77777777" w:rsidR="00D82D1C" w:rsidRDefault="00D82D1C" w:rsidP="00D82D1C">
      <w:pPr>
        <w:rPr>
          <w:lang w:eastAsia="x-none"/>
        </w:rPr>
      </w:pPr>
      <w:r w:rsidRPr="00551453">
        <w:rPr>
          <w:highlight w:val="green"/>
          <w:lang w:eastAsia="x-none"/>
        </w:rPr>
        <w:t>Agreement:</w:t>
      </w:r>
    </w:p>
    <w:p w14:paraId="33AF1CAE" w14:textId="4340B9F3" w:rsidR="00D82D1C" w:rsidRDefault="00D82D1C" w:rsidP="00D82D1C">
      <w:pPr>
        <w:rPr>
          <w:lang w:eastAsia="x-none"/>
        </w:rPr>
      </w:pPr>
      <w:r>
        <w:rPr>
          <w:lang w:eastAsia="x-none"/>
        </w:rPr>
        <w:t>Signalling one value for cell-specific K_offset is supported.</w:t>
      </w:r>
    </w:p>
    <w:p w14:paraId="37E8DE8F" w14:textId="77777777" w:rsidR="009A6697" w:rsidRDefault="009A6697" w:rsidP="009A6697">
      <w:pPr>
        <w:rPr>
          <w:lang w:eastAsia="x-none"/>
        </w:rPr>
      </w:pPr>
      <w:r w:rsidRPr="00D85F81">
        <w:rPr>
          <w:highlight w:val="green"/>
          <w:lang w:eastAsia="x-none"/>
        </w:rPr>
        <w:t>Agreement:</w:t>
      </w:r>
    </w:p>
    <w:p w14:paraId="7BAEE385" w14:textId="77777777" w:rsidR="009A6697" w:rsidRPr="00E30699" w:rsidRDefault="009A6697" w:rsidP="009A6697">
      <w:pPr>
        <w:numPr>
          <w:ilvl w:val="0"/>
          <w:numId w:val="38"/>
        </w:numPr>
        <w:spacing w:after="0" w:line="240" w:lineRule="auto"/>
        <w:rPr>
          <w:lang w:eastAsia="x-none"/>
        </w:rPr>
      </w:pPr>
      <w:r>
        <w:rPr>
          <w:lang w:eastAsia="x-none"/>
        </w:rPr>
        <w:t>For the reference subcarrier spacing value for the unit of K_offset in FR1, a value of 15 kHz is used.</w:t>
      </w:r>
    </w:p>
    <w:p w14:paraId="03C501F6" w14:textId="4D461F3D" w:rsidR="009A6697" w:rsidRDefault="009A6697" w:rsidP="008627D3">
      <w:pPr>
        <w:numPr>
          <w:ilvl w:val="0"/>
          <w:numId w:val="38"/>
        </w:numPr>
        <w:spacing w:after="0" w:line="240" w:lineRule="auto"/>
        <w:rPr>
          <w:lang w:eastAsia="zh-CN"/>
        </w:rPr>
      </w:pPr>
      <w:r>
        <w:rPr>
          <w:lang w:eastAsia="x-none"/>
        </w:rPr>
        <w:t>FFS: FR2</w:t>
      </w:r>
    </w:p>
    <w:p w14:paraId="2C0C7114" w14:textId="77777777" w:rsidR="009A6697" w:rsidRDefault="009A6697" w:rsidP="009A6697">
      <w:pPr>
        <w:rPr>
          <w:lang w:eastAsia="x-none"/>
        </w:rPr>
      </w:pPr>
      <w:r w:rsidRPr="007E684D">
        <w:rPr>
          <w:highlight w:val="green"/>
          <w:lang w:eastAsia="x-none"/>
        </w:rPr>
        <w:t>Agreement:</w:t>
      </w:r>
    </w:p>
    <w:p w14:paraId="745AD671" w14:textId="77777777" w:rsidR="009A6697" w:rsidRDefault="009A6697" w:rsidP="009A6697">
      <w:pPr>
        <w:rPr>
          <w:lang w:eastAsia="x-none"/>
        </w:rPr>
      </w:pPr>
      <w:r>
        <w:rPr>
          <w:lang w:eastAsia="x-none"/>
        </w:rPr>
        <w:t>The granularity of the reported TA is slot.</w:t>
      </w:r>
    </w:p>
    <w:p w14:paraId="61664907" w14:textId="67BBE6AC" w:rsidR="009A6697" w:rsidRDefault="009A6697" w:rsidP="008627D3">
      <w:pPr>
        <w:numPr>
          <w:ilvl w:val="0"/>
          <w:numId w:val="34"/>
        </w:numPr>
        <w:spacing w:after="0" w:line="240" w:lineRule="auto"/>
        <w:rPr>
          <w:lang w:eastAsia="zh-CN"/>
        </w:rPr>
      </w:pPr>
      <w:r>
        <w:rPr>
          <w:lang w:eastAsia="x-none"/>
        </w:rPr>
        <w:t>FFS how to round TA value to slot level granularity</w:t>
      </w:r>
    </w:p>
    <w:p w14:paraId="609AE510" w14:textId="77777777" w:rsidR="009A6697" w:rsidRDefault="009A6697" w:rsidP="009A6697">
      <w:pPr>
        <w:rPr>
          <w:lang w:eastAsia="x-none"/>
        </w:rPr>
      </w:pPr>
      <w:r w:rsidRPr="00AC3B11">
        <w:rPr>
          <w:highlight w:val="green"/>
          <w:lang w:eastAsia="x-none"/>
        </w:rPr>
        <w:t>Agreement:</w:t>
      </w:r>
    </w:p>
    <w:p w14:paraId="3152808A" w14:textId="77777777" w:rsidR="009A6697" w:rsidRDefault="009A6697" w:rsidP="009A6697">
      <w:pPr>
        <w:rPr>
          <w:lang w:eastAsia="x-none"/>
        </w:rPr>
      </w:pPr>
      <w:r>
        <w:rPr>
          <w:lang w:eastAsia="x-none"/>
        </w:rPr>
        <w:t>For the reference subcarrier spacing value for the unit of K_mac in FR1, a value of 15 kHz is used.</w:t>
      </w:r>
    </w:p>
    <w:p w14:paraId="4519ECEC" w14:textId="77777777" w:rsidR="009A6697" w:rsidRDefault="009A6697" w:rsidP="009A6697">
      <w:pPr>
        <w:numPr>
          <w:ilvl w:val="0"/>
          <w:numId w:val="34"/>
        </w:numPr>
        <w:spacing w:after="0" w:line="240" w:lineRule="auto"/>
        <w:rPr>
          <w:lang w:eastAsia="x-none"/>
        </w:rPr>
      </w:pPr>
      <w:r>
        <w:rPr>
          <w:lang w:eastAsia="x-none"/>
        </w:rPr>
        <w:t>FFS: FR2</w:t>
      </w:r>
    </w:p>
    <w:p w14:paraId="42292FAF" w14:textId="77777777" w:rsidR="009A6697" w:rsidRDefault="009A6697" w:rsidP="0023194D">
      <w:pPr>
        <w:rPr>
          <w:lang w:eastAsia="zh-CN"/>
        </w:rPr>
      </w:pPr>
    </w:p>
    <w:p w14:paraId="4658A7C9" w14:textId="5178AC5B" w:rsidR="000D5A8B" w:rsidRDefault="00CD2976" w:rsidP="007528D0">
      <w:pPr>
        <w:rPr>
          <w:lang w:eastAsia="zh-CN"/>
        </w:rPr>
      </w:pPr>
      <w:r>
        <w:rPr>
          <w:lang w:eastAsia="zh-CN"/>
        </w:rPr>
        <w:t>Thus, RAN1 have decided that the granularity for TA report is slot, while Koffset and Kmac are signalled on ms level</w:t>
      </w:r>
      <w:r w:rsidR="001C5FF4">
        <w:rPr>
          <w:lang w:eastAsia="zh-CN"/>
        </w:rPr>
        <w:t xml:space="preserve"> when 15 kHz SCS is used</w:t>
      </w:r>
      <w:r>
        <w:rPr>
          <w:lang w:eastAsia="zh-CN"/>
        </w:rPr>
        <w:t>.</w:t>
      </w:r>
      <w:r w:rsidR="006829DA">
        <w:rPr>
          <w:lang w:eastAsia="zh-CN"/>
        </w:rPr>
        <w:t xml:space="preserve"> </w:t>
      </w:r>
    </w:p>
    <w:p w14:paraId="74973FCC" w14:textId="77777777" w:rsidR="004E74EF" w:rsidRPr="00C53B14" w:rsidRDefault="004E74EF" w:rsidP="0023194D">
      <w:pPr>
        <w:rPr>
          <w:lang w:eastAsia="zh-CN"/>
        </w:rPr>
      </w:pPr>
    </w:p>
    <w:p w14:paraId="5EE02143" w14:textId="77777777" w:rsidR="00F67CCC" w:rsidRDefault="00F67CCC" w:rsidP="00F67CCC">
      <w:pPr>
        <w:pStyle w:val="Heading2"/>
      </w:pPr>
      <w:r>
        <w:t>Which information about UE specific TA pre-compensation to report during random access</w:t>
      </w:r>
    </w:p>
    <w:p w14:paraId="5768FBA1" w14:textId="77777777" w:rsidR="00F67CCC" w:rsidRDefault="00F67CCC" w:rsidP="00F67CCC">
      <w:r>
        <w:t xml:space="preserve">RAN1 agreed that the TA reporting granularity is slot level. </w:t>
      </w:r>
    </w:p>
    <w:p w14:paraId="718A25BA" w14:textId="2A0C999D" w:rsidR="00F67CCC" w:rsidRDefault="00F67CCC" w:rsidP="00F67CCC">
      <w:r>
        <w:t>To limit the range of values that need to be reported in the TA report, we can use the difference between</w:t>
      </w:r>
      <w:r w:rsidR="00304FD7">
        <w:t xml:space="preserve"> the cell-specific</w:t>
      </w:r>
      <w:r w:rsidR="00D57F2B">
        <w:t>-</w:t>
      </w:r>
      <w:r w:rsidR="00304FD7">
        <w:t>Koffset</w:t>
      </w:r>
      <w:r w:rsidR="00A8058B">
        <w:t xml:space="preserve"> </w:t>
      </w:r>
      <w:r w:rsidR="00304FD7">
        <w:t>and</w:t>
      </w:r>
      <w:r>
        <w:t xml:space="preserve"> T</w:t>
      </w:r>
      <w:r w:rsidRPr="001F5E68">
        <w:rPr>
          <w:vertAlign w:val="subscript"/>
        </w:rPr>
        <w:t>TA</w:t>
      </w:r>
      <w:r>
        <w:t xml:space="preserve"> (the </w:t>
      </w:r>
      <w:r w:rsidR="00D57F2B">
        <w:t xml:space="preserve">full </w:t>
      </w:r>
      <w:r>
        <w:t>TA applied by the UE as defined by RAN1)</w:t>
      </w:r>
      <w:r w:rsidR="00A8058B">
        <w:t xml:space="preserve"> and divide that by the time for one slot</w:t>
      </w:r>
      <w:r>
        <w:t xml:space="preserve">. That is, to report </w:t>
      </w:r>
      <w:r w:rsidR="000D5A8B">
        <w:t xml:space="preserve">the quantity </w:t>
      </w:r>
    </w:p>
    <w:p w14:paraId="5BD65365" w14:textId="6EC608D3" w:rsidR="00F67CCC" w:rsidRDefault="00F67CCC" w:rsidP="00F67CCC">
      <w:r>
        <w:t>[cell-specific-Koffset – T</w:t>
      </w:r>
      <w:r w:rsidR="00042258" w:rsidRPr="00042258">
        <w:rPr>
          <w:vertAlign w:val="subscript"/>
        </w:rPr>
        <w:t>TA</w:t>
      </w:r>
      <w:r>
        <w:t xml:space="preserve">] / [slot </w:t>
      </w:r>
      <w:r w:rsidR="00C61A0F">
        <w:t>length</w:t>
      </w:r>
      <w:r>
        <w:t xml:space="preserve">] </w:t>
      </w:r>
    </w:p>
    <w:p w14:paraId="484A293A" w14:textId="2433745C" w:rsidR="00F67CCC" w:rsidRDefault="00F67CCC" w:rsidP="00F67CCC">
      <w:r>
        <w:t xml:space="preserve">rounded </w:t>
      </w:r>
      <w:r w:rsidR="000D5A8B">
        <w:t>down</w:t>
      </w:r>
      <w:r w:rsidR="00034CE8">
        <w:t xml:space="preserve"> </w:t>
      </w:r>
      <w:r>
        <w:t>to closest integer</w:t>
      </w:r>
      <w:r w:rsidR="00C61A0F">
        <w:t xml:space="preserve"> and all quantities are expressed in </w:t>
      </w:r>
      <w:r w:rsidR="00AE55C2">
        <w:t xml:space="preserve">the same unit of time (for example </w:t>
      </w:r>
      <w:r w:rsidR="00C61A0F">
        <w:t>seconds</w:t>
      </w:r>
      <w:r w:rsidR="00AE55C2">
        <w:t>)</w:t>
      </w:r>
      <w:r>
        <w:t xml:space="preserve">. </w:t>
      </w:r>
    </w:p>
    <w:p w14:paraId="601C603F" w14:textId="2408C593" w:rsidR="00F67CCC" w:rsidRDefault="00F67CCC" w:rsidP="00F67CCC">
      <w:pPr>
        <w:pStyle w:val="Proposal"/>
      </w:pPr>
      <w:bookmarkStart w:id="158" w:name="_Toc85747867"/>
      <w:bookmarkStart w:id="159" w:name="_Toc85747888"/>
      <w:bookmarkStart w:id="160" w:name="_Toc85747983"/>
      <w:bookmarkStart w:id="161" w:name="_Toc85748004"/>
      <w:bookmarkStart w:id="162" w:name="_Toc85750987"/>
      <w:bookmarkStart w:id="163" w:name="_Toc85751006"/>
      <w:bookmarkStart w:id="164" w:name="_Toc85751038"/>
      <w:bookmarkStart w:id="165" w:name="_Toc85751057"/>
      <w:bookmarkStart w:id="166" w:name="_Toc85751104"/>
      <w:bookmarkStart w:id="167" w:name="_Toc85751117"/>
      <w:bookmarkStart w:id="168" w:name="_Toc85751168"/>
      <w:bookmarkStart w:id="169" w:name="_Toc85751181"/>
      <w:bookmarkStart w:id="170" w:name="_Toc85751328"/>
      <w:bookmarkStart w:id="171" w:name="_Toc85751341"/>
      <w:bookmarkStart w:id="172" w:name="_Toc85762098"/>
      <w:bookmarkStart w:id="173" w:name="_Toc85762111"/>
      <w:bookmarkStart w:id="174" w:name="_Toc90942503"/>
      <w:bookmarkStart w:id="175" w:name="_Toc90942517"/>
      <w:bookmarkStart w:id="176" w:name="_Toc90942706"/>
      <w:bookmarkStart w:id="177" w:name="_Toc90942720"/>
      <w:bookmarkStart w:id="178" w:name="_Toc91169133"/>
      <w:bookmarkStart w:id="179" w:name="_Toc91169147"/>
      <w:bookmarkStart w:id="180" w:name="_Toc91170898"/>
      <w:bookmarkStart w:id="181" w:name="_Toc91170913"/>
      <w:bookmarkStart w:id="182" w:name="_Toc91173316"/>
      <w:bookmarkStart w:id="183" w:name="_Toc91173331"/>
      <w:bookmarkStart w:id="184" w:name="_Toc91173707"/>
      <w:bookmarkStart w:id="185" w:name="_Toc91173722"/>
      <w:bookmarkStart w:id="186" w:name="_Toc91174022"/>
      <w:bookmarkStart w:id="187" w:name="_Toc91174037"/>
      <w:bookmarkStart w:id="188" w:name="_Toc91174534"/>
      <w:bookmarkStart w:id="189" w:name="_Toc91174550"/>
      <w:bookmarkStart w:id="190" w:name="_Toc91174782"/>
      <w:bookmarkStart w:id="191" w:name="_Toc91174799"/>
      <w:bookmarkStart w:id="192" w:name="_Toc91175166"/>
      <w:bookmarkStart w:id="193" w:name="_Toc91175183"/>
      <w:bookmarkStart w:id="194" w:name="_Toc91176424"/>
      <w:bookmarkStart w:id="195" w:name="_Toc91176447"/>
      <w:bookmarkStart w:id="196" w:name="_Toc91176620"/>
      <w:bookmarkStart w:id="197" w:name="_Toc91176643"/>
      <w:bookmarkStart w:id="198" w:name="_Toc91176800"/>
      <w:bookmarkStart w:id="199" w:name="_Toc91176823"/>
      <w:bookmarkStart w:id="200" w:name="_Toc92744022"/>
      <w:bookmarkStart w:id="201" w:name="_Toc92744046"/>
      <w:bookmarkStart w:id="202" w:name="_Toc92745093"/>
      <w:bookmarkStart w:id="203" w:name="_Toc92745119"/>
      <w:bookmarkStart w:id="204" w:name="_Toc92787222"/>
      <w:bookmarkStart w:id="205" w:name="_Toc92787248"/>
      <w:bookmarkStart w:id="206" w:name="_Toc92794758"/>
      <w:bookmarkStart w:id="207" w:name="_Toc92794784"/>
      <w:bookmarkStart w:id="208" w:name="_Toc92797845"/>
      <w:bookmarkStart w:id="209" w:name="_Toc92797871"/>
      <w:bookmarkStart w:id="210" w:name="_Toc92797909"/>
      <w:bookmarkStart w:id="211" w:name="_Toc92797932"/>
      <w:bookmarkStart w:id="212" w:name="_Toc92797987"/>
      <w:bookmarkStart w:id="213" w:name="_Toc92798010"/>
      <w:r>
        <w:t>When information about the UE specific TA pre-compensation is reported</w:t>
      </w:r>
      <w:r w:rsidR="000D5A8B">
        <w:t xml:space="preserve"> in a MAC CE</w:t>
      </w:r>
      <w:r>
        <w:t>, the reporting quantity is</w:t>
      </w:r>
      <w:r w:rsidR="00D57F2B">
        <w:t xml:space="preserve"> the</w:t>
      </w:r>
      <w:r>
        <w:t xml:space="preserve"> [</w:t>
      </w:r>
      <w:r w:rsidR="00D57F2B">
        <w:t>c</w:t>
      </w:r>
      <w:r>
        <w:t>ell-specific-Koffset –</w:t>
      </w:r>
      <w:r w:rsidR="000A4308">
        <w:t xml:space="preserve"> </w:t>
      </w:r>
      <w:r>
        <w:t>T</w:t>
      </w:r>
      <w:r w:rsidRPr="00B40D8B">
        <w:rPr>
          <w:vertAlign w:val="subscript"/>
        </w:rPr>
        <w:t>TA</w:t>
      </w:r>
      <w:r>
        <w:t xml:space="preserve">]/[slot </w:t>
      </w:r>
      <w:r w:rsidR="00C61A0F">
        <w:t>length</w:t>
      </w:r>
      <w:r>
        <w:t xml:space="preserve">] rounded </w:t>
      </w:r>
      <w:r w:rsidR="00304FD7">
        <w:t>down</w:t>
      </w:r>
      <w:r>
        <w:t xml:space="preserve"> to closest integer</w:t>
      </w:r>
      <w:r w:rsidR="00A8058B">
        <w:t xml:space="preserve"> and where </w:t>
      </w:r>
      <w:r w:rsidR="00C61A0F">
        <w:t>all quantities are</w:t>
      </w:r>
      <w:r w:rsidR="00A8058B">
        <w:t xml:space="preserve"> expressed in </w:t>
      </w:r>
      <w:r w:rsidR="00AE55C2">
        <w:t>the same unit of time, for example seconds</w:t>
      </w:r>
      <w:r w:rsidR="00304FD7">
        <w:t>.</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3EE5001C" w14:textId="4D650B97" w:rsidR="00A8058B" w:rsidRDefault="000A4308" w:rsidP="00D57F2B">
      <w:pPr>
        <w:pStyle w:val="Observation"/>
        <w:jc w:val="left"/>
      </w:pPr>
      <w:bookmarkStart w:id="214" w:name="_Toc91170899"/>
      <w:bookmarkStart w:id="215" w:name="_Toc91173317"/>
      <w:bookmarkStart w:id="216" w:name="_Toc91173708"/>
      <w:bookmarkStart w:id="217" w:name="_Toc91174023"/>
      <w:bookmarkStart w:id="218" w:name="_Toc91174535"/>
      <w:bookmarkStart w:id="219" w:name="_Toc91174783"/>
      <w:bookmarkStart w:id="220" w:name="_Toc91175167"/>
      <w:bookmarkStart w:id="221" w:name="_Toc91176425"/>
      <w:bookmarkStart w:id="222" w:name="_Toc91176621"/>
      <w:bookmarkStart w:id="223" w:name="_Toc91176801"/>
      <w:bookmarkStart w:id="224" w:name="_Toc92744023"/>
      <w:bookmarkStart w:id="225" w:name="_Toc92745094"/>
      <w:bookmarkStart w:id="226" w:name="_Toc92787223"/>
      <w:bookmarkStart w:id="227" w:name="_Toc92794759"/>
      <w:bookmarkStart w:id="228" w:name="_Toc92797846"/>
      <w:bookmarkStart w:id="229" w:name="_Toc92797910"/>
      <w:bookmarkStart w:id="230" w:name="_Toc92797988"/>
      <w:r>
        <w:t>Using [cell-specific-Koffset – T</w:t>
      </w:r>
      <w:r w:rsidRPr="00B40D8B">
        <w:rPr>
          <w:vertAlign w:val="subscript"/>
        </w:rPr>
        <w:t>TA</w:t>
      </w:r>
      <w:r>
        <w:t xml:space="preserve">]/[slot length] </w:t>
      </w:r>
      <w:r w:rsidR="00F67CCC">
        <w:t xml:space="preserve">give </w:t>
      </w:r>
      <w:r w:rsidR="00D57F2B">
        <w:t xml:space="preserve">a </w:t>
      </w:r>
      <w:r w:rsidR="00F67CCC">
        <w:t>limited range for the TA report</w:t>
      </w:r>
      <w:r w:rsidR="00D57F2B">
        <w:t xml:space="preserve"> without the need to configure a reporting range</w:t>
      </w:r>
      <w:r>
        <w:t xml:space="preserve"> </w:t>
      </w:r>
      <w:r w:rsidR="00623811">
        <w:t>that depends</w:t>
      </w:r>
      <w:r>
        <w:t xml:space="preserve"> on the constellation</w:t>
      </w:r>
      <w:r w:rsidR="00D57F2B">
        <w:t xml:space="preserve"> </w:t>
      </w:r>
      <w:r>
        <w:t xml:space="preserve">and without </w:t>
      </w:r>
      <w:r w:rsidR="00D57F2B">
        <w:t>using a very large report</w:t>
      </w:r>
      <w:r>
        <w:t>.</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r>
        <w:t xml:space="preserve"> </w:t>
      </w:r>
    </w:p>
    <w:p w14:paraId="574D70CF" w14:textId="77777777" w:rsidR="00B42722" w:rsidRDefault="00F67CCC" w:rsidP="00F67CCC">
      <w:r>
        <w:t>For 15 kHz SCS with 1 ms slots there will be only 1 to 11 (as the maximum differential delay in a cell is maximum 10.3 ms in GEO) or maybe 1 to 12 (</w:t>
      </w:r>
      <w:r w:rsidR="00A8058B">
        <w:t xml:space="preserve">using a </w:t>
      </w:r>
      <w:r>
        <w:t>one slot margin for UEs that acces</w:t>
      </w:r>
      <w:r w:rsidR="00A8058B">
        <w:t>s</w:t>
      </w:r>
      <w:r>
        <w:t xml:space="preserve"> </w:t>
      </w:r>
      <w:r w:rsidR="00A8058B">
        <w:t xml:space="preserve">and are </w:t>
      </w:r>
      <w:r>
        <w:t xml:space="preserve">far from the nadir, that is the cell specific Koffset uses a value 1 ms higher than necessary </w:t>
      </w:r>
      <w:r w:rsidR="00A8058B">
        <w:t>to</w:t>
      </w:r>
      <w:r>
        <w:t xml:space="preserve"> ensure </w:t>
      </w:r>
      <w:r w:rsidR="000D5A8B">
        <w:t xml:space="preserve">the </w:t>
      </w:r>
      <w:r>
        <w:t xml:space="preserve">timing for UEs that are on the very outer edge of </w:t>
      </w:r>
      <w:r w:rsidR="00A8058B">
        <w:t xml:space="preserve">the </w:t>
      </w:r>
      <w:r>
        <w:t xml:space="preserve">coverage </w:t>
      </w:r>
      <w:r w:rsidR="00A8058B">
        <w:t>of the cell</w:t>
      </w:r>
      <w:r>
        <w:t>). For SCS of 240 kHz</w:t>
      </w:r>
      <w:r w:rsidR="00A8058B">
        <w:t xml:space="preserve"> and 1/16 ms slots</w:t>
      </w:r>
      <w:r>
        <w:t xml:space="preserve">, </w:t>
      </w:r>
      <w:r w:rsidR="00A8058B">
        <w:t>the</w:t>
      </w:r>
      <w:r>
        <w:t xml:space="preserve"> </w:t>
      </w:r>
      <w:r w:rsidR="00A8058B">
        <w:t xml:space="preserve">reporting </w:t>
      </w:r>
      <w:r>
        <w:t xml:space="preserve">range </w:t>
      </w:r>
      <w:r w:rsidR="00A8058B">
        <w:t xml:space="preserve">will be from 1 to </w:t>
      </w:r>
      <w:r>
        <w:t xml:space="preserve">192 for </w:t>
      </w:r>
      <w:r w:rsidR="00A8058B">
        <w:t xml:space="preserve">a maximum differential delay of </w:t>
      </w:r>
      <w:r>
        <w:t>12 ms</w:t>
      </w:r>
      <w:r w:rsidR="00A8058B">
        <w:t xml:space="preserve"> over a cell</w:t>
      </w:r>
      <w:r>
        <w:t xml:space="preserve">. </w:t>
      </w:r>
    </w:p>
    <w:p w14:paraId="4F21FCAB" w14:textId="2F6B5051" w:rsidR="00F67CCC" w:rsidRDefault="000B77F0" w:rsidP="00F67CCC">
      <w:r>
        <w:t xml:space="preserve">Using an 8 bit TA report will enable </w:t>
      </w:r>
      <w:r w:rsidR="00F67CCC">
        <w:t>values between 0 and 255</w:t>
      </w:r>
      <w:r>
        <w:t xml:space="preserve">, and can thus cover </w:t>
      </w:r>
      <w:r w:rsidR="00F67CCC">
        <w:t>up to 16 ms</w:t>
      </w:r>
      <w:r w:rsidR="00B42722">
        <w:t xml:space="preserve"> (256/16 = 16)</w:t>
      </w:r>
      <w:r w:rsidR="00F67CCC">
        <w:t xml:space="preserve"> difference in RTT for a SCS of 240 kHz.</w:t>
      </w:r>
      <w:r w:rsidR="00B42722">
        <w:t xml:space="preserve"> </w:t>
      </w:r>
    </w:p>
    <w:p w14:paraId="68E296CC" w14:textId="0870AE87" w:rsidR="00F67CCC" w:rsidRDefault="00F67CCC" w:rsidP="00F67CCC">
      <w:pPr>
        <w:pStyle w:val="Proposal"/>
      </w:pPr>
      <w:bookmarkStart w:id="231" w:name="_Toc85747868"/>
      <w:bookmarkStart w:id="232" w:name="_Toc85747889"/>
      <w:bookmarkStart w:id="233" w:name="_Toc85747984"/>
      <w:bookmarkStart w:id="234" w:name="_Toc85748005"/>
      <w:bookmarkStart w:id="235" w:name="_Toc85750988"/>
      <w:bookmarkStart w:id="236" w:name="_Toc85751007"/>
      <w:bookmarkStart w:id="237" w:name="_Toc85751039"/>
      <w:bookmarkStart w:id="238" w:name="_Toc85751058"/>
      <w:bookmarkStart w:id="239" w:name="_Toc85751105"/>
      <w:bookmarkStart w:id="240" w:name="_Toc85751118"/>
      <w:bookmarkStart w:id="241" w:name="_Toc85751169"/>
      <w:bookmarkStart w:id="242" w:name="_Toc85751182"/>
      <w:bookmarkStart w:id="243" w:name="_Toc85751329"/>
      <w:bookmarkStart w:id="244" w:name="_Toc85751342"/>
      <w:bookmarkStart w:id="245" w:name="_Toc85762099"/>
      <w:bookmarkStart w:id="246" w:name="_Toc85762112"/>
      <w:bookmarkStart w:id="247" w:name="_Toc90942504"/>
      <w:bookmarkStart w:id="248" w:name="_Toc90942518"/>
      <w:bookmarkStart w:id="249" w:name="_Toc90942707"/>
      <w:bookmarkStart w:id="250" w:name="_Toc90942721"/>
      <w:bookmarkStart w:id="251" w:name="_Toc91169134"/>
      <w:bookmarkStart w:id="252" w:name="_Toc91169148"/>
      <w:bookmarkStart w:id="253" w:name="_Toc91170900"/>
      <w:bookmarkStart w:id="254" w:name="_Toc91170914"/>
      <w:bookmarkStart w:id="255" w:name="_Toc91173318"/>
      <w:bookmarkStart w:id="256" w:name="_Toc91173332"/>
      <w:bookmarkStart w:id="257" w:name="_Toc91173709"/>
      <w:bookmarkStart w:id="258" w:name="_Toc91173723"/>
      <w:bookmarkStart w:id="259" w:name="_Toc91174024"/>
      <w:bookmarkStart w:id="260" w:name="_Toc91174038"/>
      <w:bookmarkStart w:id="261" w:name="_Toc91174536"/>
      <w:bookmarkStart w:id="262" w:name="_Toc91174551"/>
      <w:bookmarkStart w:id="263" w:name="_Toc91174784"/>
      <w:bookmarkStart w:id="264" w:name="_Toc91174800"/>
      <w:bookmarkStart w:id="265" w:name="_Toc91175168"/>
      <w:bookmarkStart w:id="266" w:name="_Toc91175184"/>
      <w:bookmarkStart w:id="267" w:name="_Toc91176426"/>
      <w:bookmarkStart w:id="268" w:name="_Toc91176448"/>
      <w:bookmarkStart w:id="269" w:name="_Toc91176622"/>
      <w:bookmarkStart w:id="270" w:name="_Toc91176644"/>
      <w:bookmarkStart w:id="271" w:name="_Toc91176802"/>
      <w:bookmarkStart w:id="272" w:name="_Toc91176824"/>
      <w:bookmarkStart w:id="273" w:name="_Toc92744024"/>
      <w:bookmarkStart w:id="274" w:name="_Toc92744047"/>
      <w:bookmarkStart w:id="275" w:name="_Toc92745095"/>
      <w:bookmarkStart w:id="276" w:name="_Toc92745120"/>
      <w:bookmarkStart w:id="277" w:name="_Toc92787224"/>
      <w:bookmarkStart w:id="278" w:name="_Toc92787249"/>
      <w:bookmarkStart w:id="279" w:name="_Toc92794760"/>
      <w:bookmarkStart w:id="280" w:name="_Toc92794785"/>
      <w:bookmarkStart w:id="281" w:name="_Toc92797847"/>
      <w:bookmarkStart w:id="282" w:name="_Toc92797872"/>
      <w:bookmarkStart w:id="283" w:name="_Toc92797911"/>
      <w:bookmarkStart w:id="284" w:name="_Toc92797933"/>
      <w:bookmarkStart w:id="285" w:name="_Toc92797989"/>
      <w:bookmarkStart w:id="286" w:name="_Toc92798011"/>
      <w:r>
        <w:t>The new MAC CE format for TA reporting during random access uses one field of fixed 8 bits</w:t>
      </w:r>
      <w:r w:rsidR="000A4308">
        <w:t xml:space="preserve"> size</w:t>
      </w:r>
      <w:r>
        <w:t>.</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r>
        <w:t xml:space="preserve"> </w:t>
      </w:r>
    </w:p>
    <w:p w14:paraId="31753552" w14:textId="77777777" w:rsidR="00F5210D" w:rsidRPr="00C53B14" w:rsidRDefault="00F5210D" w:rsidP="00FE03F6">
      <w:pPr>
        <w:rPr>
          <w:rStyle w:val="xxbodytextChar"/>
          <w:rFonts w:cs="Arial"/>
          <w:lang w:val="en-GB"/>
        </w:rPr>
      </w:pPr>
    </w:p>
    <w:p w14:paraId="16981549" w14:textId="4D6DEAAD" w:rsidR="00F67CCC" w:rsidRDefault="00F67CCC" w:rsidP="00F67CCC">
      <w:pPr>
        <w:pStyle w:val="Heading2"/>
      </w:pPr>
      <w:r>
        <w:t xml:space="preserve">How to trigger TA reporting in connected mode </w:t>
      </w:r>
    </w:p>
    <w:p w14:paraId="63754D76" w14:textId="5332E34A" w:rsidR="00F67CCC" w:rsidRDefault="00F67CCC" w:rsidP="00F67CCC">
      <w:r>
        <w:t>We may define the triggers for reporting in a similar manner as the TA report during random access, that is to take the difference between the UE specific Koffset (or the cell-specific</w:t>
      </w:r>
      <w:r w:rsidR="00BF4212">
        <w:t>-</w:t>
      </w:r>
      <w:r>
        <w:t>Koffset if no UE</w:t>
      </w:r>
      <w:r w:rsidR="00BF4212">
        <w:t>-</w:t>
      </w:r>
      <w:r>
        <w:t>specific</w:t>
      </w:r>
      <w:r w:rsidR="00BF4212">
        <w:t>-</w:t>
      </w:r>
      <w:r>
        <w:t>Koffset is configured for the UE) and the</w:t>
      </w:r>
      <w:r w:rsidR="00E80339">
        <w:t xml:space="preserve"> timing advance applied by the UE</w:t>
      </w:r>
      <w:r>
        <w:t xml:space="preserve"> </w:t>
      </w:r>
      <w:r w:rsidR="00E80339">
        <w:t>(</w:t>
      </w:r>
      <w:r>
        <w:t>T</w:t>
      </w:r>
      <w:r w:rsidRPr="000260FE">
        <w:rPr>
          <w:vertAlign w:val="subscript"/>
        </w:rPr>
        <w:t>TA</w:t>
      </w:r>
      <w:r w:rsidR="00E80339">
        <w:t xml:space="preserve">) </w:t>
      </w:r>
      <w:r>
        <w:t xml:space="preserve">as the quantity to monitor: </w:t>
      </w:r>
    </w:p>
    <w:p w14:paraId="26298DB2" w14:textId="1077996C" w:rsidR="00F67CCC" w:rsidRDefault="00F67CCC" w:rsidP="00F67CCC">
      <w:r>
        <w:t>Qta = [UE-specific-Koffset – T</w:t>
      </w:r>
      <w:r w:rsidRPr="000260FE">
        <w:rPr>
          <w:vertAlign w:val="subscript"/>
        </w:rPr>
        <w:t>TA</w:t>
      </w:r>
      <w:r>
        <w:t xml:space="preserve">] </w:t>
      </w:r>
    </w:p>
    <w:p w14:paraId="2002A7CC" w14:textId="720A5578" w:rsidR="00E80339" w:rsidRDefault="00B42722" w:rsidP="00F67CCC">
      <w:r>
        <w:t>w</w:t>
      </w:r>
      <w:r w:rsidR="00E80339">
        <w:t xml:space="preserve">here all quantities are expressed in seconds. </w:t>
      </w:r>
    </w:p>
    <w:p w14:paraId="69113368" w14:textId="3DB3E7FC" w:rsidR="00B42722" w:rsidRDefault="00F67CCC" w:rsidP="00F67CCC">
      <w:r>
        <w:t xml:space="preserve">Then </w:t>
      </w:r>
      <w:r w:rsidR="00B42722">
        <w:t>using</w:t>
      </w:r>
      <w:r w:rsidR="00BF4212">
        <w:t xml:space="preserve"> this quantity we can define two thresholds to trigger TA reports</w:t>
      </w:r>
      <w:r w:rsidR="00D57F2B">
        <w:t>.</w:t>
      </w:r>
    </w:p>
    <w:p w14:paraId="193F1BA7" w14:textId="77777777" w:rsidR="00210C8C" w:rsidRDefault="00210C8C" w:rsidP="00210C8C">
      <w:r>
        <w:t xml:space="preserve">Trigger a report when </w:t>
      </w:r>
    </w:p>
    <w:p w14:paraId="25148FAA" w14:textId="457FA659" w:rsidR="00210C8C" w:rsidRDefault="00210C8C" w:rsidP="00210C8C">
      <w:r>
        <w:t xml:space="preserve">Qta &lt; ThDown, </w:t>
      </w:r>
    </w:p>
    <w:p w14:paraId="20D836DD" w14:textId="3C746AA3" w:rsidR="00210C8C" w:rsidRDefault="00210C8C" w:rsidP="00210C8C">
      <w:r>
        <w:t xml:space="preserve">indicating that the </w:t>
      </w:r>
      <w:r w:rsidR="00D57F2B">
        <w:t>T</w:t>
      </w:r>
      <w:r w:rsidR="00D57F2B" w:rsidRPr="000260FE">
        <w:rPr>
          <w:vertAlign w:val="subscript"/>
        </w:rPr>
        <w:t>TA</w:t>
      </w:r>
      <w:r w:rsidR="00D57F2B">
        <w:t xml:space="preserve"> </w:t>
      </w:r>
      <w:r>
        <w:t xml:space="preserve">is increasing and </w:t>
      </w:r>
      <w:r w:rsidR="00D57F2B">
        <w:t>the gNB need</w:t>
      </w:r>
      <w:r>
        <w:t xml:space="preserve"> to configure a higher Koffset</w:t>
      </w:r>
      <w:r w:rsidR="00D57F2B" w:rsidRPr="00D57F2B">
        <w:t xml:space="preserve"> </w:t>
      </w:r>
      <w:r w:rsidR="00D57F2B">
        <w:t>to allow sufficient processing time for the UE to process before PUSCH and PUCCH transmissions</w:t>
      </w:r>
      <w:r>
        <w:t xml:space="preserve">. </w:t>
      </w:r>
    </w:p>
    <w:p w14:paraId="21BD886A" w14:textId="77777777" w:rsidR="00210C8C" w:rsidRDefault="00210C8C" w:rsidP="00210C8C">
      <w:r>
        <w:t xml:space="preserve">Trigger a report when </w:t>
      </w:r>
    </w:p>
    <w:p w14:paraId="7F2712F6" w14:textId="467D6068" w:rsidR="00210C8C" w:rsidRDefault="00210C8C" w:rsidP="00210C8C">
      <w:r>
        <w:t>Qta &gt; ThUp,</w:t>
      </w:r>
    </w:p>
    <w:p w14:paraId="190F5A03" w14:textId="1678156E" w:rsidR="00210C8C" w:rsidRDefault="00210C8C" w:rsidP="00210C8C">
      <w:r>
        <w:t xml:space="preserve">indicating that the </w:t>
      </w:r>
      <w:r w:rsidR="00D57F2B">
        <w:t>T</w:t>
      </w:r>
      <w:r w:rsidR="00D57F2B" w:rsidRPr="000260FE">
        <w:rPr>
          <w:vertAlign w:val="subscript"/>
        </w:rPr>
        <w:t>TA</w:t>
      </w:r>
      <w:r w:rsidR="00D57F2B">
        <w:t xml:space="preserve"> </w:t>
      </w:r>
      <w:r>
        <w:t xml:space="preserve">is decreasing, and it is possible to configure a lower Koffset. </w:t>
      </w:r>
    </w:p>
    <w:p w14:paraId="45849B44" w14:textId="77777777" w:rsidR="00210C8C" w:rsidRDefault="00210C8C" w:rsidP="00F67CCC">
      <w:r>
        <w:t xml:space="preserve">The thresholds may be selected as follows: </w:t>
      </w:r>
    </w:p>
    <w:p w14:paraId="2C3B337F" w14:textId="7C87EAC0" w:rsidR="00F67CCC" w:rsidRDefault="00F67CCC" w:rsidP="00F67CCC">
      <w:r>
        <w:t>Th</w:t>
      </w:r>
      <w:r w:rsidR="00210C8C">
        <w:t>Down</w:t>
      </w:r>
      <w:r>
        <w:t xml:space="preserve"> </w:t>
      </w:r>
      <w:r w:rsidR="00115E91">
        <w:t>is</w:t>
      </w:r>
      <w:r>
        <w:t xml:space="preserve"> the minimum time needed for the UE to process grants and HARQ feedback transmissions plus a </w:t>
      </w:r>
      <w:r w:rsidR="00210C8C">
        <w:t xml:space="preserve">time </w:t>
      </w:r>
      <w:r>
        <w:t>margin</w:t>
      </w:r>
      <w:r w:rsidR="003C4855">
        <w:t>.</w:t>
      </w:r>
      <w:r>
        <w:t xml:space="preserve"> </w:t>
      </w:r>
      <w:r w:rsidR="003C4855">
        <w:t>W</w:t>
      </w:r>
      <w:r w:rsidR="00210C8C">
        <w:t xml:space="preserve">hen </w:t>
      </w:r>
      <w:r>
        <w:t>the Qta is below this value</w:t>
      </w:r>
      <w:r w:rsidR="00210C8C">
        <w:t xml:space="preserve"> </w:t>
      </w:r>
      <w:r>
        <w:t>it</w:t>
      </w:r>
      <w:r w:rsidR="00210C8C">
        <w:t xml:space="preserve"> </w:t>
      </w:r>
      <w:r>
        <w:t>is time to configure a higher UE specific Koffset</w:t>
      </w:r>
      <w:r w:rsidR="00D57F2B">
        <w:t xml:space="preserve">. </w:t>
      </w:r>
    </w:p>
    <w:p w14:paraId="76334C93" w14:textId="628A5C93" w:rsidR="00F67CCC" w:rsidRDefault="00F67CCC" w:rsidP="00F67CCC">
      <w:r>
        <w:t>Th</w:t>
      </w:r>
      <w:r w:rsidR="00210C8C">
        <w:t>Up</w:t>
      </w:r>
      <w:r>
        <w:t xml:space="preserve"> </w:t>
      </w:r>
      <w:r w:rsidR="00115E91">
        <w:t>is</w:t>
      </w:r>
      <w:r>
        <w:t xml:space="preserve"> approximately Th1 + 1 ms, </w:t>
      </w:r>
      <w:r w:rsidR="006C2350">
        <w:t xml:space="preserve">which </w:t>
      </w:r>
      <w:r>
        <w:t>indicates that it is possible to configure a lower Koffset</w:t>
      </w:r>
      <w:r w:rsidR="00D57F2B">
        <w:t xml:space="preserve">. </w:t>
      </w:r>
    </w:p>
    <w:p w14:paraId="5898FE5F" w14:textId="4BEAAA5F" w:rsidR="00BF4212" w:rsidRDefault="00BF4212" w:rsidP="00F67CCC"/>
    <w:p w14:paraId="18BE30F7" w14:textId="04111774" w:rsidR="00F67CCC" w:rsidRDefault="00210C8C" w:rsidP="00F67CCC">
      <w:pPr>
        <w:pStyle w:val="Proposal"/>
      </w:pPr>
      <w:bookmarkStart w:id="287" w:name="_Ref85747394"/>
      <w:bookmarkStart w:id="288" w:name="_Toc85747885"/>
      <w:bookmarkStart w:id="289" w:name="_Toc85747898"/>
      <w:bookmarkStart w:id="290" w:name="_Toc85747993"/>
      <w:bookmarkStart w:id="291" w:name="_Toc85748009"/>
      <w:bookmarkStart w:id="292" w:name="_Toc85750998"/>
      <w:bookmarkStart w:id="293" w:name="_Toc85751012"/>
      <w:bookmarkStart w:id="294" w:name="_Toc85751049"/>
      <w:bookmarkStart w:id="295" w:name="_Toc85751063"/>
      <w:bookmarkStart w:id="296" w:name="_Toc85751115"/>
      <w:bookmarkStart w:id="297" w:name="_Toc85751123"/>
      <w:bookmarkStart w:id="298" w:name="_Toc85751179"/>
      <w:bookmarkStart w:id="299" w:name="_Toc85751187"/>
      <w:bookmarkStart w:id="300" w:name="_Toc85751339"/>
      <w:bookmarkStart w:id="301" w:name="_Toc85751347"/>
      <w:bookmarkStart w:id="302" w:name="_Toc85762109"/>
      <w:bookmarkStart w:id="303" w:name="_Toc85762117"/>
      <w:bookmarkStart w:id="304" w:name="_Toc90942505"/>
      <w:bookmarkStart w:id="305" w:name="_Toc90942519"/>
      <w:bookmarkStart w:id="306" w:name="_Toc90942708"/>
      <w:bookmarkStart w:id="307" w:name="_Toc90942722"/>
      <w:bookmarkStart w:id="308" w:name="_Toc91169135"/>
      <w:bookmarkStart w:id="309" w:name="_Toc91169149"/>
      <w:bookmarkStart w:id="310" w:name="_Toc91170901"/>
      <w:bookmarkStart w:id="311" w:name="_Toc91170915"/>
      <w:bookmarkStart w:id="312" w:name="_Toc91173319"/>
      <w:bookmarkStart w:id="313" w:name="_Toc91173333"/>
      <w:bookmarkStart w:id="314" w:name="_Toc91173710"/>
      <w:bookmarkStart w:id="315" w:name="_Toc91173724"/>
      <w:bookmarkStart w:id="316" w:name="_Ref91173745"/>
      <w:bookmarkStart w:id="317" w:name="_Toc91174025"/>
      <w:bookmarkStart w:id="318" w:name="_Toc91174039"/>
      <w:bookmarkStart w:id="319" w:name="_Toc91174537"/>
      <w:bookmarkStart w:id="320" w:name="_Toc91174552"/>
      <w:bookmarkStart w:id="321" w:name="_Toc91174785"/>
      <w:bookmarkStart w:id="322" w:name="_Toc91174801"/>
      <w:bookmarkStart w:id="323" w:name="_Toc91175169"/>
      <w:bookmarkStart w:id="324" w:name="_Toc91175185"/>
      <w:bookmarkStart w:id="325" w:name="_Toc91176427"/>
      <w:bookmarkStart w:id="326" w:name="_Toc91176449"/>
      <w:bookmarkStart w:id="327" w:name="_Toc91176623"/>
      <w:bookmarkStart w:id="328" w:name="_Toc91176645"/>
      <w:bookmarkStart w:id="329" w:name="_Toc91176803"/>
      <w:bookmarkStart w:id="330" w:name="_Toc91176825"/>
      <w:bookmarkStart w:id="331" w:name="_Toc92744025"/>
      <w:bookmarkStart w:id="332" w:name="_Toc92744048"/>
      <w:bookmarkStart w:id="333" w:name="_Toc92745096"/>
      <w:bookmarkStart w:id="334" w:name="_Toc92745121"/>
      <w:bookmarkStart w:id="335" w:name="_Toc92787225"/>
      <w:bookmarkStart w:id="336" w:name="_Toc92787250"/>
      <w:bookmarkStart w:id="337" w:name="_Toc92794761"/>
      <w:bookmarkStart w:id="338" w:name="_Toc92794786"/>
      <w:bookmarkStart w:id="339" w:name="_Toc92797848"/>
      <w:bookmarkStart w:id="340" w:name="_Toc92797873"/>
      <w:bookmarkStart w:id="341" w:name="_Toc92797912"/>
      <w:bookmarkStart w:id="342" w:name="_Toc92797934"/>
      <w:bookmarkStart w:id="343" w:name="_Toc92797990"/>
      <w:bookmarkStart w:id="344" w:name="_Toc92798012"/>
      <w:r>
        <w:t>T</w:t>
      </w:r>
      <w:r w:rsidR="00F67CCC">
        <w:t>he quantity used by the UE to trigger TA reports is Qta = [Koffset – T</w:t>
      </w:r>
      <w:r w:rsidR="00F67CCC" w:rsidRPr="000260FE">
        <w:rPr>
          <w:vertAlign w:val="subscript"/>
        </w:rPr>
        <w:t>TA</w:t>
      </w:r>
      <w:r w:rsidR="00F67CCC">
        <w:t>]</w:t>
      </w:r>
      <w:r>
        <w:t xml:space="preserve"> expressed in seconds</w:t>
      </w:r>
      <w:r w:rsidR="00F67CCC">
        <w:t xml:space="preserve">, </w:t>
      </w:r>
      <w:r w:rsidR="00B42722">
        <w:t xml:space="preserve">where </w:t>
      </w:r>
      <w:r w:rsidR="00F67CCC">
        <w:t xml:space="preserve">Koffset </w:t>
      </w:r>
      <w:r w:rsidR="00B42722">
        <w:t xml:space="preserve">is the cell-specific-TA </w:t>
      </w:r>
      <w:r w:rsidR="00BF4212">
        <w:t>(or</w:t>
      </w:r>
      <w:r w:rsidR="00B42722">
        <w:t xml:space="preserve"> UE-specific-TA </w:t>
      </w:r>
      <w:r w:rsidR="00BF4212">
        <w:t>if</w:t>
      </w:r>
      <w:r w:rsidR="00B42722">
        <w:t xml:space="preserve"> configured</w:t>
      </w:r>
      <w:r w:rsidR="00BF4212">
        <w:t>)</w:t>
      </w:r>
      <w:r w:rsidR="00B42722">
        <w:t xml:space="preserve"> and T</w:t>
      </w:r>
      <w:r w:rsidR="00B42722" w:rsidRPr="000260FE">
        <w:rPr>
          <w:vertAlign w:val="subscript"/>
        </w:rPr>
        <w:t>TA</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r w:rsidR="00B42722">
        <w:t xml:space="preserve"> is the full TA.</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r w:rsidR="00F67CCC">
        <w:t xml:space="preserve"> </w:t>
      </w:r>
    </w:p>
    <w:p w14:paraId="5369446D" w14:textId="31804401" w:rsidR="00F67CCC" w:rsidRDefault="00AD29F9" w:rsidP="00F67CCC">
      <w:pPr>
        <w:pStyle w:val="Proposal"/>
      </w:pPr>
      <w:bookmarkStart w:id="345" w:name="_Toc85747886"/>
      <w:bookmarkStart w:id="346" w:name="_Toc85747899"/>
      <w:bookmarkStart w:id="347" w:name="_Toc85747994"/>
      <w:bookmarkStart w:id="348" w:name="_Toc85748010"/>
      <w:bookmarkStart w:id="349" w:name="_Toc85750999"/>
      <w:bookmarkStart w:id="350" w:name="_Toc85751013"/>
      <w:bookmarkStart w:id="351" w:name="_Toc85751050"/>
      <w:bookmarkStart w:id="352" w:name="_Toc85751064"/>
      <w:bookmarkStart w:id="353" w:name="_Toc85751116"/>
      <w:bookmarkStart w:id="354" w:name="_Toc85751124"/>
      <w:bookmarkStart w:id="355" w:name="_Toc85751180"/>
      <w:bookmarkStart w:id="356" w:name="_Toc85751188"/>
      <w:bookmarkStart w:id="357" w:name="_Toc85751340"/>
      <w:bookmarkStart w:id="358" w:name="_Toc85751348"/>
      <w:bookmarkStart w:id="359" w:name="_Toc85762110"/>
      <w:bookmarkStart w:id="360" w:name="_Toc85762118"/>
      <w:bookmarkStart w:id="361" w:name="_Ref90940764"/>
      <w:bookmarkStart w:id="362" w:name="_Toc90942506"/>
      <w:bookmarkStart w:id="363" w:name="_Toc90942520"/>
      <w:bookmarkStart w:id="364" w:name="_Toc90942709"/>
      <w:bookmarkStart w:id="365" w:name="_Toc90942723"/>
      <w:bookmarkStart w:id="366" w:name="_Toc91169136"/>
      <w:bookmarkStart w:id="367" w:name="_Toc91169150"/>
      <w:bookmarkStart w:id="368" w:name="_Toc91170902"/>
      <w:bookmarkStart w:id="369" w:name="_Toc91170916"/>
      <w:bookmarkStart w:id="370" w:name="_Toc91173320"/>
      <w:bookmarkStart w:id="371" w:name="_Toc91173334"/>
      <w:bookmarkStart w:id="372" w:name="_Toc91173711"/>
      <w:bookmarkStart w:id="373" w:name="_Toc91173725"/>
      <w:bookmarkStart w:id="374" w:name="_Toc91174026"/>
      <w:bookmarkStart w:id="375" w:name="_Toc91174040"/>
      <w:bookmarkStart w:id="376" w:name="_Toc91174538"/>
      <w:bookmarkStart w:id="377" w:name="_Toc91174553"/>
      <w:bookmarkStart w:id="378" w:name="_Toc91174786"/>
      <w:bookmarkStart w:id="379" w:name="_Toc91174802"/>
      <w:bookmarkStart w:id="380" w:name="_Toc91175170"/>
      <w:bookmarkStart w:id="381" w:name="_Toc91175186"/>
      <w:bookmarkStart w:id="382" w:name="_Toc91176428"/>
      <w:bookmarkStart w:id="383" w:name="_Toc91176450"/>
      <w:bookmarkStart w:id="384" w:name="_Toc91176624"/>
      <w:bookmarkStart w:id="385" w:name="_Toc91176646"/>
      <w:bookmarkStart w:id="386" w:name="_Toc91176804"/>
      <w:bookmarkStart w:id="387" w:name="_Toc91176826"/>
      <w:bookmarkStart w:id="388" w:name="_Toc92744026"/>
      <w:bookmarkStart w:id="389" w:name="_Toc92744049"/>
      <w:bookmarkStart w:id="390" w:name="_Toc92745097"/>
      <w:bookmarkStart w:id="391" w:name="_Toc92745122"/>
      <w:bookmarkStart w:id="392" w:name="_Toc92787226"/>
      <w:bookmarkStart w:id="393" w:name="_Toc92787251"/>
      <w:bookmarkStart w:id="394" w:name="_Toc92794762"/>
      <w:bookmarkStart w:id="395" w:name="_Toc92794787"/>
      <w:bookmarkStart w:id="396" w:name="_Toc92797849"/>
      <w:bookmarkStart w:id="397" w:name="_Toc92797874"/>
      <w:bookmarkStart w:id="398" w:name="_Toc92797913"/>
      <w:bookmarkStart w:id="399" w:name="_Toc92797935"/>
      <w:bookmarkStart w:id="400" w:name="_Toc92797991"/>
      <w:bookmarkStart w:id="401" w:name="_Toc92798013"/>
      <w:r>
        <w:t>T</w:t>
      </w:r>
      <w:r w:rsidR="00F67CCC">
        <w:t>he UE may be configured with two thresholds to trigger TA reports based on Qta. Th</w:t>
      </w:r>
      <w:r>
        <w:t>Down</w:t>
      </w:r>
      <w:r w:rsidR="00F67CCC">
        <w:t xml:space="preserve"> triggers a TA report if Qta &lt; Th</w:t>
      </w:r>
      <w:r>
        <w:t>Down</w:t>
      </w:r>
      <w:r w:rsidR="00F67CCC">
        <w:t>. Th</w:t>
      </w:r>
      <w:r>
        <w:t>Up</w:t>
      </w:r>
      <w:r w:rsidR="00F67CCC">
        <w:t xml:space="preserve"> triggers a TA report if Qta &gt; Th</w:t>
      </w:r>
      <w:r>
        <w:t>Up</w:t>
      </w:r>
      <w:r w:rsidR="00F67CCC">
        <w:t>.</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00F67CCC">
        <w:t xml:space="preserve"> </w:t>
      </w:r>
    </w:p>
    <w:p w14:paraId="31417F01" w14:textId="77777777" w:rsidR="00AD29F9" w:rsidRDefault="00AD29F9" w:rsidP="00F67CCC"/>
    <w:p w14:paraId="38B20754" w14:textId="2AEFB4A3" w:rsidR="00AD29F9" w:rsidRDefault="00AD29F9" w:rsidP="00AD29F9">
      <w:r>
        <w:t>Some have suggested that the t</w:t>
      </w:r>
      <w:r w:rsidRPr="00AD29F9">
        <w:t>riggered reporting of TA</w:t>
      </w:r>
      <w:r>
        <w:t xml:space="preserve"> shall be based on the last successfully reported TA, but that trigger has a lot of technical issues. </w:t>
      </w:r>
    </w:p>
    <w:p w14:paraId="3E248322" w14:textId="5ACACDAE" w:rsidR="00AD29F9" w:rsidRDefault="00AD29F9" w:rsidP="00F67CCC">
      <w:r>
        <w:t>One advantage of this trigger for reporting is that as the gNB handles the UE-specific-Koffset, there will be no need to trigger reports – only when there is a need/opportunity to change the UE-specific-Koffset there will be a report. Another advantage is that there is no need for the UE to determine/guess if a report of information about the UE specific TA pre-compensation has been successfully received by the gNB to have something to compare to an updated T</w:t>
      </w:r>
      <w:r w:rsidRPr="00AD29F9">
        <w:rPr>
          <w:vertAlign w:val="subscript"/>
        </w:rPr>
        <w:t>TA</w:t>
      </w:r>
      <w:r>
        <w:t xml:space="preserve">. </w:t>
      </w:r>
    </w:p>
    <w:p w14:paraId="149C88DC" w14:textId="52966DF8" w:rsidR="00AD29F9" w:rsidRDefault="00AD29F9" w:rsidP="00F67CCC">
      <w:r>
        <w:t>When the gNB sends a new Koffset to the UE, shall the UE update the “last successfully reported TA” or not? If not, a new TA report may be triggered even</w:t>
      </w:r>
      <w:r w:rsidR="009C21DC">
        <w:t xml:space="preserve"> if</w:t>
      </w:r>
      <w:r>
        <w:t xml:space="preserve"> the UE have received an updated Koffset that is suitable for the T</w:t>
      </w:r>
      <w:r w:rsidRPr="00AD29F9">
        <w:rPr>
          <w:vertAlign w:val="subscript"/>
        </w:rPr>
        <w:t>TA</w:t>
      </w:r>
      <w:r>
        <w:t xml:space="preserve"> as the UE or satellite moves. </w:t>
      </w:r>
    </w:p>
    <w:p w14:paraId="0CE33BDA" w14:textId="0D63ECBF" w:rsidR="00AD29F9" w:rsidRPr="00C53B14" w:rsidRDefault="00AD29F9" w:rsidP="00AD29F9">
      <w:pPr>
        <w:pStyle w:val="Observation"/>
        <w:jc w:val="left"/>
      </w:pPr>
      <w:bookmarkStart w:id="402" w:name="_Toc90942507"/>
      <w:bookmarkStart w:id="403" w:name="_Toc90942710"/>
      <w:bookmarkStart w:id="404" w:name="_Toc91169137"/>
      <w:bookmarkStart w:id="405" w:name="_Toc91170903"/>
      <w:bookmarkStart w:id="406" w:name="_Toc91173321"/>
      <w:bookmarkStart w:id="407" w:name="_Toc91173712"/>
      <w:bookmarkStart w:id="408" w:name="_Toc91174027"/>
      <w:bookmarkStart w:id="409" w:name="_Toc91174539"/>
      <w:bookmarkStart w:id="410" w:name="_Toc91174787"/>
      <w:bookmarkStart w:id="411" w:name="_Toc91175171"/>
      <w:bookmarkStart w:id="412" w:name="_Toc91176429"/>
      <w:bookmarkStart w:id="413" w:name="_Toc91176625"/>
      <w:bookmarkStart w:id="414" w:name="_Toc91176805"/>
      <w:bookmarkStart w:id="415" w:name="_Toc92744027"/>
      <w:bookmarkStart w:id="416" w:name="_Toc92745098"/>
      <w:bookmarkStart w:id="417" w:name="_Toc92787227"/>
      <w:bookmarkStart w:id="418" w:name="_Toc92794763"/>
      <w:bookmarkStart w:id="419" w:name="_Toc92797850"/>
      <w:bookmarkStart w:id="420" w:name="_Toc92797914"/>
      <w:bookmarkStart w:id="421" w:name="_Toc92797992"/>
      <w:r>
        <w:t>The advantages of using Qta = [UE-specific-Koffset – T</w:t>
      </w:r>
      <w:r w:rsidRPr="000260FE">
        <w:rPr>
          <w:vertAlign w:val="subscript"/>
        </w:rPr>
        <w:t>TA</w:t>
      </w:r>
      <w:r>
        <w:t>] and two thresholds Qta &lt; ThDown and Qta &gt; ThUp to trigger TA reports is:</w:t>
      </w:r>
      <w:r>
        <w:br/>
        <w:t>1) no report will be triggered unless there is a need to update the UE-specific-Koffset</w:t>
      </w:r>
      <w:r>
        <w:br/>
        <w:t>2) no need for the UE to determine/guess and store a “last successfully reported TA”</w:t>
      </w:r>
      <w:r>
        <w:br/>
        <w:t>3) no need to update the “last successfully reported TA” when an updated Koffset is received (useful in scenarios when gNB can predict the T</w:t>
      </w:r>
      <w:r w:rsidRPr="000260FE">
        <w:rPr>
          <w:vertAlign w:val="subscript"/>
        </w:rPr>
        <w:t>TA</w:t>
      </w:r>
      <w:r>
        <w:t xml:space="preserve"> of the UE, for example when UE location is known, or in Earth Fixed cells when satellite has moved a certain distance).</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r>
        <w:t xml:space="preserve"> </w:t>
      </w:r>
    </w:p>
    <w:p w14:paraId="56EF8566" w14:textId="77777777" w:rsidR="00C42ED7" w:rsidRDefault="00C42ED7" w:rsidP="00C42ED7">
      <w:pPr>
        <w:rPr>
          <w:lang w:eastAsia="zh-CN"/>
        </w:rPr>
      </w:pPr>
    </w:p>
    <w:p w14:paraId="0D188AE9" w14:textId="018B4555" w:rsidR="00C42ED7" w:rsidRDefault="00C42ED7" w:rsidP="00C42ED7">
      <w:pPr>
        <w:rPr>
          <w:lang w:eastAsia="zh-CN"/>
        </w:rPr>
      </w:pPr>
      <w:r>
        <w:rPr>
          <w:lang w:eastAsia="zh-CN"/>
        </w:rPr>
        <w:t xml:space="preserve">Further, if the TBS can fit all data but not the TA report, we may decide to only send the data and wait with the TA report. </w:t>
      </w:r>
    </w:p>
    <w:p w14:paraId="0195BC4E" w14:textId="77777777" w:rsidR="00C42ED7" w:rsidRPr="00181A4B" w:rsidRDefault="00C42ED7" w:rsidP="00C42ED7">
      <w:pPr>
        <w:pStyle w:val="Proposal"/>
        <w:jc w:val="left"/>
        <w:rPr>
          <w:rFonts w:cs="Arial"/>
          <w:lang w:eastAsia="en-US"/>
        </w:rPr>
      </w:pPr>
      <w:bookmarkStart w:id="422" w:name="_Toc91174540"/>
      <w:bookmarkStart w:id="423" w:name="_Toc91174554"/>
      <w:bookmarkStart w:id="424" w:name="_Toc91174788"/>
      <w:bookmarkStart w:id="425" w:name="_Toc91174803"/>
      <w:bookmarkStart w:id="426" w:name="_Toc91175172"/>
      <w:bookmarkStart w:id="427" w:name="_Toc91175187"/>
      <w:bookmarkStart w:id="428" w:name="_Toc91176430"/>
      <w:bookmarkStart w:id="429" w:name="_Toc91176451"/>
      <w:bookmarkStart w:id="430" w:name="_Toc91176626"/>
      <w:bookmarkStart w:id="431" w:name="_Toc91176647"/>
      <w:bookmarkStart w:id="432" w:name="_Toc91176806"/>
      <w:bookmarkStart w:id="433" w:name="_Toc91176827"/>
      <w:bookmarkStart w:id="434" w:name="_Toc92744028"/>
      <w:bookmarkStart w:id="435" w:name="_Toc92744050"/>
      <w:bookmarkStart w:id="436" w:name="_Toc92745099"/>
      <w:bookmarkStart w:id="437" w:name="_Toc92745123"/>
      <w:bookmarkStart w:id="438" w:name="_Toc92787228"/>
      <w:bookmarkStart w:id="439" w:name="_Toc92787252"/>
      <w:bookmarkStart w:id="440" w:name="_Toc92794764"/>
      <w:bookmarkStart w:id="441" w:name="_Toc92794788"/>
      <w:bookmarkStart w:id="442" w:name="_Toc92797851"/>
      <w:bookmarkStart w:id="443" w:name="_Toc92797875"/>
      <w:bookmarkStart w:id="444" w:name="_Toc92797915"/>
      <w:bookmarkStart w:id="445" w:name="_Toc92797936"/>
      <w:bookmarkStart w:id="446" w:name="_Toc92797993"/>
      <w:bookmarkStart w:id="447" w:name="_Toc92798014"/>
      <w:r>
        <w:t>RAN2 to discuss the case a TBS can fit all data if a new TA report MAC CE is not included, whether the UE shall then not send the new TA report MAC CE.</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3263D29F" w14:textId="3DCEF65A" w:rsidR="00C42ED7" w:rsidRDefault="00C42ED7" w:rsidP="00AD29F9"/>
    <w:p w14:paraId="47CDA759" w14:textId="3B396726" w:rsidR="00C42ED7" w:rsidRDefault="001851AC" w:rsidP="00AD29F9">
      <w:r>
        <w:t xml:space="preserve">The use case </w:t>
      </w:r>
      <w:r w:rsidR="00CD49D3">
        <w:t xml:space="preserve">where </w:t>
      </w:r>
      <w:r w:rsidR="00C42ED7">
        <w:t xml:space="preserve">TA reporting </w:t>
      </w:r>
      <w:r w:rsidR="00CD49D3">
        <w:t xml:space="preserve">can give a decreased delay </w:t>
      </w:r>
      <w:r>
        <w:t>may be for</w:t>
      </w:r>
      <w:r w:rsidR="00C42ED7">
        <w:t xml:space="preserve"> users with lots of data, or for users of high priority</w:t>
      </w:r>
      <w:r>
        <w:t xml:space="preserve"> or for some special </w:t>
      </w:r>
      <w:r w:rsidR="00CD49D3">
        <w:t xml:space="preserve">prioritized </w:t>
      </w:r>
      <w:r>
        <w:t xml:space="preserve">services or when the cell load is low. In some </w:t>
      </w:r>
      <w:r w:rsidR="005A744E">
        <w:t xml:space="preserve">use </w:t>
      </w:r>
      <w:r>
        <w:t xml:space="preserve">cases there is no need for all UEs to send TA reports during random-access, instead the gNB shall be allowed to request the UE to report the TA for the UEs that fulfil criteria where TA reporting </w:t>
      </w:r>
      <w:r w:rsidR="005A744E">
        <w:t xml:space="preserve">is </w:t>
      </w:r>
      <w:r>
        <w:t>useful</w:t>
      </w:r>
      <w:r w:rsidR="00CD49D3">
        <w:t xml:space="preserve"> or when the cell load allows</w:t>
      </w:r>
      <w:r>
        <w:t>.</w:t>
      </w:r>
      <w:r w:rsidR="00CD49D3">
        <w:t xml:space="preserve"> As </w:t>
      </w:r>
      <w:r w:rsidR="00B451A0">
        <w:t xml:space="preserve">ARN2 </w:t>
      </w:r>
      <w:r w:rsidR="00CD49D3">
        <w:t>already agreed that the network can configure if the TA is reported during random access or not,</w:t>
      </w:r>
      <w:r w:rsidR="00B451A0">
        <w:t xml:space="preserve"> it will be useful for the gNB to be able to request the UE to report the TA ni connected mode.</w:t>
      </w:r>
      <w:r>
        <w:t xml:space="preserve"> </w:t>
      </w:r>
    </w:p>
    <w:p w14:paraId="1251CE94" w14:textId="137704BA" w:rsidR="001851AC" w:rsidRPr="00181A4B" w:rsidRDefault="001851AC" w:rsidP="001851AC">
      <w:pPr>
        <w:pStyle w:val="Proposal"/>
        <w:jc w:val="left"/>
        <w:rPr>
          <w:rFonts w:cs="Arial"/>
          <w:lang w:eastAsia="en-US"/>
        </w:rPr>
      </w:pPr>
      <w:bookmarkStart w:id="448" w:name="_Toc91174789"/>
      <w:bookmarkStart w:id="449" w:name="_Toc91174804"/>
      <w:bookmarkStart w:id="450" w:name="_Toc91175173"/>
      <w:bookmarkStart w:id="451" w:name="_Toc91175188"/>
      <w:bookmarkStart w:id="452" w:name="_Toc91176431"/>
      <w:bookmarkStart w:id="453" w:name="_Toc91176452"/>
      <w:bookmarkStart w:id="454" w:name="_Toc91176627"/>
      <w:bookmarkStart w:id="455" w:name="_Toc91176648"/>
      <w:bookmarkStart w:id="456" w:name="_Toc91176807"/>
      <w:bookmarkStart w:id="457" w:name="_Toc91176828"/>
      <w:bookmarkStart w:id="458" w:name="_Toc92744029"/>
      <w:bookmarkStart w:id="459" w:name="_Toc92744051"/>
      <w:bookmarkStart w:id="460" w:name="_Toc92745100"/>
      <w:bookmarkStart w:id="461" w:name="_Toc92745124"/>
      <w:bookmarkStart w:id="462" w:name="_Toc92787229"/>
      <w:bookmarkStart w:id="463" w:name="_Toc92787253"/>
      <w:bookmarkStart w:id="464" w:name="_Toc92794765"/>
      <w:bookmarkStart w:id="465" w:name="_Toc92794789"/>
      <w:bookmarkStart w:id="466" w:name="_Toc92797852"/>
      <w:bookmarkStart w:id="467" w:name="_Toc92797876"/>
      <w:bookmarkStart w:id="468" w:name="_Toc92797916"/>
      <w:bookmarkStart w:id="469" w:name="_Toc92797937"/>
      <w:bookmarkStart w:id="470" w:name="_Toc92797994"/>
      <w:bookmarkStart w:id="471" w:name="_Toc92798015"/>
      <w:r>
        <w:t>The gNB can request the UE to report TA</w:t>
      </w:r>
      <w:r w:rsidR="00B451A0">
        <w:t xml:space="preserve"> in connected mode</w:t>
      </w:r>
      <w:r>
        <w:t>.</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r>
        <w:t xml:space="preserve"> </w:t>
      </w:r>
    </w:p>
    <w:p w14:paraId="236EA4B0" w14:textId="77777777" w:rsidR="00C42ED7" w:rsidRDefault="00C42ED7" w:rsidP="00AD29F9"/>
    <w:p w14:paraId="77B4B405" w14:textId="77777777" w:rsidR="00AD29F9" w:rsidRPr="00C53B14" w:rsidRDefault="00AD29F9" w:rsidP="00AD29F9">
      <w:pPr>
        <w:pStyle w:val="Heading2"/>
      </w:pPr>
      <w:r>
        <w:t xml:space="preserve">Which information </w:t>
      </w:r>
      <w:r w:rsidRPr="00C53B14">
        <w:t xml:space="preserve">about UE specific TA pre-compensation </w:t>
      </w:r>
      <w:r>
        <w:t>to report and how</w:t>
      </w:r>
      <w:r w:rsidRPr="00C53B14">
        <w:t xml:space="preserve"> to </w:t>
      </w:r>
      <w:r>
        <w:t xml:space="preserve">trigger </w:t>
      </w:r>
      <w:r w:rsidRPr="00C53B14">
        <w:t>report</w:t>
      </w:r>
      <w:r>
        <w:t>s</w:t>
      </w:r>
      <w:r w:rsidRPr="00C53B14">
        <w:t xml:space="preserve"> </w:t>
      </w:r>
      <w:r>
        <w:t>in connected mode</w:t>
      </w:r>
    </w:p>
    <w:p w14:paraId="6A6B0B84" w14:textId="77777777" w:rsidR="00AD29F9" w:rsidRDefault="00AD29F9" w:rsidP="00AD29F9">
      <w:r>
        <w:t xml:space="preserve">Even slot level granularity TA report may be sufficient for an observer to accurately estimate the UE position if the observer manages to collect many TA values to a few different satellites (say in LEO with Earth Moving cells where the coverage time from one cell may be in the order of 10s of seconds, and the coverage from one satellite may be in the order of 100s of seconds, depending on the constellation, on the other hand such scenarios will most likely not use UE specific Koffset and thus no TA report is be needed). We think reporting TA with MAC CEs in connected mode will create privacy problems. </w:t>
      </w:r>
    </w:p>
    <w:p w14:paraId="27A5AFC8" w14:textId="2FC14491" w:rsidR="00AD29F9" w:rsidRPr="00C53B14" w:rsidRDefault="00AD29F9" w:rsidP="00AD29F9">
      <w:pPr>
        <w:pStyle w:val="Observation"/>
      </w:pPr>
      <w:bookmarkStart w:id="472" w:name="_Toc85150666"/>
      <w:bookmarkStart w:id="473" w:name="_Toc85151664"/>
      <w:bookmarkStart w:id="474" w:name="_Toc85180927"/>
      <w:bookmarkStart w:id="475" w:name="_Toc85181000"/>
      <w:bookmarkStart w:id="476" w:name="_Toc85747870"/>
      <w:bookmarkStart w:id="477" w:name="_Toc85747986"/>
      <w:bookmarkStart w:id="478" w:name="_Toc85750990"/>
      <w:bookmarkStart w:id="479" w:name="_Toc85751041"/>
      <w:bookmarkStart w:id="480" w:name="_Toc85751107"/>
      <w:bookmarkStart w:id="481" w:name="_Toc85751171"/>
      <w:bookmarkStart w:id="482" w:name="_Toc85751331"/>
      <w:bookmarkStart w:id="483" w:name="_Toc85762101"/>
      <w:bookmarkStart w:id="484" w:name="_Toc90942508"/>
      <w:bookmarkStart w:id="485" w:name="_Toc90942711"/>
      <w:bookmarkStart w:id="486" w:name="_Toc91169138"/>
      <w:bookmarkStart w:id="487" w:name="_Toc91170904"/>
      <w:bookmarkStart w:id="488" w:name="_Toc91173322"/>
      <w:bookmarkStart w:id="489" w:name="_Toc91173713"/>
      <w:bookmarkStart w:id="490" w:name="_Toc91174028"/>
      <w:bookmarkStart w:id="491" w:name="_Toc91174541"/>
      <w:bookmarkStart w:id="492" w:name="_Toc91174790"/>
      <w:bookmarkStart w:id="493" w:name="_Toc91175174"/>
      <w:bookmarkStart w:id="494" w:name="_Toc91176432"/>
      <w:bookmarkStart w:id="495" w:name="_Toc91176628"/>
      <w:bookmarkStart w:id="496" w:name="_Toc91176808"/>
      <w:bookmarkStart w:id="497" w:name="_Toc92744030"/>
      <w:bookmarkStart w:id="498" w:name="_Toc92745101"/>
      <w:bookmarkStart w:id="499" w:name="_Toc92787230"/>
      <w:bookmarkStart w:id="500" w:name="_Toc92794766"/>
      <w:bookmarkStart w:id="501" w:name="_Toc92797853"/>
      <w:bookmarkStart w:id="502" w:name="_Toc92797917"/>
      <w:bookmarkStart w:id="503" w:name="_Toc92797995"/>
      <w:r>
        <w:t xml:space="preserve">When TA reports use slot granularity, observers can still accurately estimate the UE position from multiple reports towards multiple satellites. Thus, using MAC CE to report TA value </w:t>
      </w:r>
      <w:r w:rsidR="00AF2E55">
        <w:t>has</w:t>
      </w:r>
      <w:r>
        <w:t xml:space="preserve"> privacy issues.</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r>
        <w:t xml:space="preserve"> </w:t>
      </w:r>
    </w:p>
    <w:p w14:paraId="1A55438E" w14:textId="77777777" w:rsidR="00AD29F9" w:rsidRDefault="00AD29F9" w:rsidP="00AD29F9"/>
    <w:p w14:paraId="20F7A01F" w14:textId="77777777" w:rsidR="00AD29F9" w:rsidRPr="00204B97" w:rsidRDefault="00AD29F9" w:rsidP="00AD29F9">
      <w:pPr>
        <w:jc w:val="both"/>
        <w:rPr>
          <w:b/>
          <w:bCs/>
        </w:rPr>
      </w:pPr>
      <w:r w:rsidRPr="00204B97">
        <w:rPr>
          <w:b/>
          <w:bCs/>
        </w:rPr>
        <w:t>Using TA report with a MAC CE:</w:t>
      </w:r>
    </w:p>
    <w:p w14:paraId="56C6833A" w14:textId="77777777" w:rsidR="00AD29F9" w:rsidRDefault="00AD29F9" w:rsidP="00AD29F9">
      <w:pPr>
        <w:ind w:left="1304"/>
        <w:jc w:val="both"/>
      </w:pPr>
      <w:r>
        <w:t xml:space="preserve">If MAC CEs are used for TA report, the MAC CE may not be reported to the gNB if the UE do not have an UL grant, or if UL HARQ fails (the UE have no idea about failed HARQ and gNB do not know there was a TA report MAC CE included (gNB of course knows HARQ failed but may do nothing, as important info shall be retransmitted by RLC)). If MAC CE is used to update Koffset, the HARQ transmission may fail (though gNB should avoid this and use a HARQ process with HARQ feedback). </w:t>
      </w:r>
    </w:p>
    <w:p w14:paraId="18A52A3B" w14:textId="77777777" w:rsidR="00AD29F9" w:rsidRDefault="00AD29F9" w:rsidP="00AD29F9">
      <w:pPr>
        <w:ind w:left="1304"/>
        <w:jc w:val="both"/>
      </w:pPr>
      <w:r>
        <w:t xml:space="preserve">These issues may be mitigated, if we 1) allow the new TA report MAC CE to trigger Scheduling Request (this has not been common in the MAC spec even though there are a few examples), and 2) introduce a timer after a TA report MAC CE transmission that triggers a new TA report MAC CE at expiry in case no updated Koffset is received before that. </w:t>
      </w:r>
    </w:p>
    <w:p w14:paraId="1351CAF7" w14:textId="77777777" w:rsidR="00AD29F9" w:rsidRDefault="00AD29F9" w:rsidP="00AD29F9">
      <w:pPr>
        <w:jc w:val="both"/>
        <w:rPr>
          <w:b/>
          <w:bCs/>
        </w:rPr>
      </w:pPr>
    </w:p>
    <w:p w14:paraId="43E41BAE" w14:textId="77777777" w:rsidR="00AD29F9" w:rsidRPr="00204B97" w:rsidRDefault="00AD29F9" w:rsidP="00AD29F9">
      <w:pPr>
        <w:jc w:val="both"/>
        <w:rPr>
          <w:b/>
          <w:bCs/>
        </w:rPr>
      </w:pPr>
      <w:r w:rsidRPr="00204B97">
        <w:rPr>
          <w:b/>
          <w:bCs/>
        </w:rPr>
        <w:t>Using RRC TA reporting/Koffset update:</w:t>
      </w:r>
    </w:p>
    <w:p w14:paraId="2106B3A9" w14:textId="5EA1D67C" w:rsidR="00AD29F9" w:rsidRDefault="00AD29F9" w:rsidP="00AD29F9">
      <w:pPr>
        <w:ind w:left="1304"/>
        <w:jc w:val="both"/>
      </w:pPr>
      <w:r>
        <w:t xml:space="preserve">A triggered TA report will trigger a BSR, as for any SRB traffic. RRC is </w:t>
      </w:r>
      <w:r w:rsidR="00AF2E55">
        <w:t xml:space="preserve">encrypted, integrity protected and delivery </w:t>
      </w:r>
      <w:r>
        <w:t xml:space="preserve">ensured with RLC retransmissions. </w:t>
      </w:r>
    </w:p>
    <w:p w14:paraId="19271EE2" w14:textId="56100AF7" w:rsidR="00AD29F9" w:rsidRDefault="00AD29F9" w:rsidP="00AD29F9">
      <w:pPr>
        <w:jc w:val="both"/>
      </w:pPr>
    </w:p>
    <w:p w14:paraId="4221E00F" w14:textId="77777777" w:rsidR="00AF2E55" w:rsidRDefault="00AF2E55" w:rsidP="00AF2E55">
      <w:r>
        <w:t xml:space="preserve">Therefore, we think the UE shall not report using MAC CE in connected mode. Using RRC will give integrity protection and encryption and thus will not reveal the UE position to unwanted parties. </w:t>
      </w:r>
    </w:p>
    <w:p w14:paraId="0CD87854" w14:textId="77777777" w:rsidR="00AD29F9" w:rsidRPr="00C53B14" w:rsidRDefault="00AD29F9" w:rsidP="00AD29F9">
      <w:pPr>
        <w:rPr>
          <w:lang w:eastAsia="en-GB"/>
        </w:rPr>
      </w:pPr>
      <w:r>
        <w:t xml:space="preserve">There are more error cases for MAC CE based reporting/Koffset update but the whole procedure may be faster compared to RRC based reporting/Koffset update where delivery is secured. Further MAC CE based reporting has quite large MAC spec impact, for example having MAC CEs trigger SR is not common. </w:t>
      </w:r>
    </w:p>
    <w:p w14:paraId="678CF924" w14:textId="77777777" w:rsidR="00AD29F9" w:rsidRDefault="00AD29F9" w:rsidP="00AD29F9">
      <w:r>
        <w:t xml:space="preserve">The agreed event triggered reporting of TA is easily implemented in the existing measurement framework that uses RRC signalling for the reports – thus, it is not necessary to report TA value using a MAC CE in connected mode. </w:t>
      </w:r>
    </w:p>
    <w:p w14:paraId="263ED6FC" w14:textId="77777777" w:rsidR="00AD29F9" w:rsidRPr="00C53B14" w:rsidRDefault="00AD29F9" w:rsidP="00AD29F9">
      <w:pPr>
        <w:pStyle w:val="Observation"/>
      </w:pPr>
      <w:bookmarkStart w:id="504" w:name="_Toc85150668"/>
      <w:bookmarkStart w:id="505" w:name="_Toc85151666"/>
      <w:bookmarkStart w:id="506" w:name="_Toc85180929"/>
      <w:bookmarkStart w:id="507" w:name="_Toc85181002"/>
      <w:bookmarkStart w:id="508" w:name="_Toc85747872"/>
      <w:bookmarkStart w:id="509" w:name="_Toc85747988"/>
      <w:bookmarkStart w:id="510" w:name="_Toc85750992"/>
      <w:bookmarkStart w:id="511" w:name="_Toc85751043"/>
      <w:bookmarkStart w:id="512" w:name="_Toc85751109"/>
      <w:bookmarkStart w:id="513" w:name="_Toc85751173"/>
      <w:bookmarkStart w:id="514" w:name="_Toc85751333"/>
      <w:bookmarkStart w:id="515" w:name="_Toc85762103"/>
      <w:bookmarkStart w:id="516" w:name="_Toc90942509"/>
      <w:bookmarkStart w:id="517" w:name="_Toc90942712"/>
      <w:bookmarkStart w:id="518" w:name="_Toc91169139"/>
      <w:bookmarkStart w:id="519" w:name="_Toc91170905"/>
      <w:bookmarkStart w:id="520" w:name="_Toc91173323"/>
      <w:bookmarkStart w:id="521" w:name="_Toc91173714"/>
      <w:bookmarkStart w:id="522" w:name="_Toc91174029"/>
      <w:bookmarkStart w:id="523" w:name="_Toc91174542"/>
      <w:bookmarkStart w:id="524" w:name="_Toc91174791"/>
      <w:bookmarkStart w:id="525" w:name="_Toc91175175"/>
      <w:bookmarkStart w:id="526" w:name="_Toc91176433"/>
      <w:bookmarkStart w:id="527" w:name="_Toc91176629"/>
      <w:bookmarkStart w:id="528" w:name="_Toc91176809"/>
      <w:bookmarkStart w:id="529" w:name="_Toc92744031"/>
      <w:bookmarkStart w:id="530" w:name="_Toc92745102"/>
      <w:bookmarkStart w:id="531" w:name="_Toc92787231"/>
      <w:bookmarkStart w:id="532" w:name="_Toc92794767"/>
      <w:bookmarkStart w:id="533" w:name="_Toc92797854"/>
      <w:bookmarkStart w:id="534" w:name="_Toc92797918"/>
      <w:bookmarkStart w:id="535" w:name="_Toc92797996"/>
      <w:r>
        <w:t>The event triggered reporting of TA</w:t>
      </w:r>
      <w:bookmarkEnd w:id="504"/>
      <w:bookmarkEnd w:id="505"/>
      <w:bookmarkEnd w:id="506"/>
      <w:bookmarkEnd w:id="507"/>
      <w:r>
        <w:t xml:space="preserve"> can be integrated in the existing Event based measurement framework that uses RRC signalling.</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r>
        <w:t xml:space="preserve"> </w:t>
      </w:r>
    </w:p>
    <w:p w14:paraId="53CA5384" w14:textId="77777777" w:rsidR="00AD29F9" w:rsidRPr="00C53B14" w:rsidRDefault="00AD29F9" w:rsidP="00AD29F9">
      <w:pPr>
        <w:rPr>
          <w:lang w:eastAsia="zh-CN"/>
        </w:rPr>
      </w:pPr>
    </w:p>
    <w:p w14:paraId="13F2E438" w14:textId="77777777" w:rsidR="00AD29F9" w:rsidRPr="00C53B14" w:rsidRDefault="00AD29F9" w:rsidP="00AD29F9">
      <w:pPr>
        <w:rPr>
          <w:lang w:eastAsia="zh-CN"/>
        </w:rPr>
      </w:pPr>
      <w:r>
        <w:t>T</w:t>
      </w:r>
      <w:r w:rsidRPr="00C53B14">
        <w:t xml:space="preserve">he gNB can estimate the position of </w:t>
      </w:r>
      <w:r w:rsidRPr="00C53B14">
        <w:rPr>
          <w:lang w:eastAsia="zh-CN"/>
        </w:rPr>
        <w:t>the</w:t>
      </w:r>
      <w:r w:rsidRPr="00C53B14">
        <w:t xml:space="preserve"> UE from the </w:t>
      </w:r>
      <w:r>
        <w:t xml:space="preserve">reported </w:t>
      </w:r>
      <w:r w:rsidRPr="00C53B14">
        <w:t>TA</w:t>
      </w:r>
      <w:r>
        <w:t xml:space="preserve"> value, and combined with neighbour satellite measurements, this will be an accurate estimate after a short while</w:t>
      </w:r>
      <w:r w:rsidRPr="00C53B14">
        <w:t xml:space="preserve">. </w:t>
      </w:r>
      <w:r w:rsidRPr="00C53B14">
        <w:rPr>
          <w:lang w:eastAsia="zh-CN"/>
        </w:rPr>
        <w:t xml:space="preserve">Reporting the UE position instead of the TA has the advantage that gNB can use the satellite ephemeris to predict how the TA will change, and thus the </w:t>
      </w:r>
      <w:r>
        <w:rPr>
          <w:rStyle w:val="xxbodytextChar"/>
          <w:rFonts w:cs="Arial"/>
          <w:lang w:val="en-GB"/>
        </w:rPr>
        <w:t xml:space="preserve">reporting is only needed once. If </w:t>
      </w:r>
      <w:r w:rsidRPr="00C53B14">
        <w:rPr>
          <w:lang w:eastAsia="zh-CN"/>
        </w:rPr>
        <w:t xml:space="preserve">UE position </w:t>
      </w:r>
      <w:r>
        <w:rPr>
          <w:lang w:eastAsia="zh-CN"/>
        </w:rPr>
        <w:t xml:space="preserve">is reported, the event </w:t>
      </w:r>
      <w:r w:rsidRPr="00C53B14">
        <w:rPr>
          <w:lang w:eastAsia="zh-CN"/>
        </w:rPr>
        <w:t xml:space="preserve">triggered </w:t>
      </w:r>
      <w:r>
        <w:rPr>
          <w:lang w:eastAsia="zh-CN"/>
        </w:rPr>
        <w:t xml:space="preserve">reporting shall be based on the </w:t>
      </w:r>
      <w:r w:rsidRPr="00C53B14">
        <w:rPr>
          <w:lang w:eastAsia="zh-CN"/>
        </w:rPr>
        <w:t>UEs position changing more than a threshold. The UE position may also be used in the mobility management to know when the UE shall do handovers and for other things</w:t>
      </w:r>
      <w:r>
        <w:rPr>
          <w:lang w:eastAsia="zh-CN"/>
        </w:rPr>
        <w:t>,</w:t>
      </w:r>
      <w:r w:rsidRPr="00C53B14">
        <w:rPr>
          <w:lang w:eastAsia="zh-CN"/>
        </w:rPr>
        <w:t xml:space="preserve"> for example to know which measurements to configure</w:t>
      </w:r>
      <w:r>
        <w:rPr>
          <w:lang w:eastAsia="zh-CN"/>
        </w:rPr>
        <w:t xml:space="preserve"> or which Tracking Area the UE belongs to</w:t>
      </w:r>
      <w:r w:rsidRPr="00C53B14">
        <w:rPr>
          <w:lang w:eastAsia="zh-CN"/>
        </w:rPr>
        <w:t xml:space="preserve">. </w:t>
      </w:r>
      <w:r>
        <w:rPr>
          <w:lang w:eastAsia="zh-CN"/>
        </w:rPr>
        <w:t xml:space="preserve">Reporting UE position may however be controversial due to privacy issues. </w:t>
      </w:r>
    </w:p>
    <w:p w14:paraId="6829F615" w14:textId="77777777" w:rsidR="00AD29F9" w:rsidRPr="00C53B14" w:rsidRDefault="00AD29F9" w:rsidP="00AD29F9">
      <w:pPr>
        <w:pStyle w:val="Observation"/>
      </w:pPr>
      <w:bookmarkStart w:id="536" w:name="_Toc85150669"/>
      <w:bookmarkStart w:id="537" w:name="_Toc85151667"/>
      <w:bookmarkStart w:id="538" w:name="_Toc85180930"/>
      <w:bookmarkStart w:id="539" w:name="_Toc85181003"/>
      <w:bookmarkStart w:id="540" w:name="_Toc85747873"/>
      <w:bookmarkStart w:id="541" w:name="_Toc85747989"/>
      <w:bookmarkStart w:id="542" w:name="_Toc85750993"/>
      <w:bookmarkStart w:id="543" w:name="_Toc85751044"/>
      <w:bookmarkStart w:id="544" w:name="_Toc85751110"/>
      <w:bookmarkStart w:id="545" w:name="_Toc85751174"/>
      <w:bookmarkStart w:id="546" w:name="_Toc85751334"/>
      <w:bookmarkStart w:id="547" w:name="_Toc85762104"/>
      <w:bookmarkStart w:id="548" w:name="_Toc90942510"/>
      <w:bookmarkStart w:id="549" w:name="_Toc90942713"/>
      <w:bookmarkStart w:id="550" w:name="_Toc91169140"/>
      <w:bookmarkStart w:id="551" w:name="_Toc91170906"/>
      <w:bookmarkStart w:id="552" w:name="_Toc91173324"/>
      <w:bookmarkStart w:id="553" w:name="_Toc91173715"/>
      <w:bookmarkStart w:id="554" w:name="_Toc91174030"/>
      <w:bookmarkStart w:id="555" w:name="_Toc91174543"/>
      <w:bookmarkStart w:id="556" w:name="_Toc91174792"/>
      <w:bookmarkStart w:id="557" w:name="_Toc91175176"/>
      <w:bookmarkStart w:id="558" w:name="_Toc91176434"/>
      <w:bookmarkStart w:id="559" w:name="_Toc91176630"/>
      <w:bookmarkStart w:id="560" w:name="_Toc91176810"/>
      <w:bookmarkStart w:id="561" w:name="_Toc92744032"/>
      <w:bookmarkStart w:id="562" w:name="_Toc92745103"/>
      <w:bookmarkStart w:id="563" w:name="_Toc92787232"/>
      <w:bookmarkStart w:id="564" w:name="_Toc92794768"/>
      <w:bookmarkStart w:id="565" w:name="_Toc92797855"/>
      <w:bookmarkStart w:id="566" w:name="_Toc92797919"/>
      <w:bookmarkStart w:id="567" w:name="_Toc92797997"/>
      <w:bookmarkStart w:id="568" w:name="_Toc67610798"/>
      <w:bookmarkStart w:id="569" w:name="_Toc67616093"/>
      <w:bookmarkStart w:id="570" w:name="_Toc67616248"/>
      <w:bookmarkStart w:id="571" w:name="_Toc67616390"/>
      <w:bookmarkStart w:id="572" w:name="_Toc67616501"/>
      <w:bookmarkStart w:id="573" w:name="_Toc67616542"/>
      <w:bookmarkStart w:id="574" w:name="_Toc67616583"/>
      <w:bookmarkStart w:id="575" w:name="_Toc67616617"/>
      <w:bookmarkStart w:id="576" w:name="_Toc67748955"/>
      <w:bookmarkStart w:id="577" w:name="_Toc67749139"/>
      <w:bookmarkStart w:id="578" w:name="_Toc67749408"/>
      <w:bookmarkStart w:id="579" w:name="_Toc67749644"/>
      <w:bookmarkStart w:id="580" w:name="_Toc68011742"/>
      <w:bookmarkStart w:id="581" w:name="_Toc68037221"/>
      <w:bookmarkStart w:id="582" w:name="_Toc68091761"/>
      <w:bookmarkStart w:id="583" w:name="_Toc68178646"/>
      <w:bookmarkStart w:id="584" w:name="_Toc68183025"/>
      <w:bookmarkStart w:id="585" w:name="_Toc68208729"/>
      <w:bookmarkStart w:id="586" w:name="_Toc68208882"/>
      <w:bookmarkStart w:id="587" w:name="_Toc68209283"/>
      <w:bookmarkStart w:id="588" w:name="_Toc68210464"/>
      <w:bookmarkStart w:id="589" w:name="_Toc71071859"/>
      <w:bookmarkStart w:id="590" w:name="_Toc71074891"/>
      <w:bookmarkStart w:id="591" w:name="_Toc71114895"/>
      <w:bookmarkStart w:id="592" w:name="_Toc71119730"/>
      <w:bookmarkStart w:id="593" w:name="_Toc71126713"/>
      <w:bookmarkStart w:id="594" w:name="_Toc71237753"/>
      <w:bookmarkStart w:id="595" w:name="_Toc71237795"/>
      <w:bookmarkStart w:id="596" w:name="_Toc71238431"/>
      <w:bookmarkStart w:id="597" w:name="_Toc71240770"/>
      <w:bookmarkStart w:id="598" w:name="_Toc71240846"/>
      <w:bookmarkStart w:id="599" w:name="_Toc71241161"/>
      <w:bookmarkStart w:id="600" w:name="_Toc71244783"/>
      <w:bookmarkStart w:id="601" w:name="_Toc71244966"/>
      <w:bookmarkStart w:id="602" w:name="_Toc71247935"/>
      <w:bookmarkStart w:id="603" w:name="_Toc71293537"/>
      <w:bookmarkStart w:id="604" w:name="_Toc71297586"/>
      <w:bookmarkStart w:id="605" w:name="_Toc71299071"/>
      <w:bookmarkStart w:id="606" w:name="_Toc71399837"/>
      <w:bookmarkStart w:id="607" w:name="_Toc71454688"/>
      <w:bookmarkStart w:id="608" w:name="_Toc71454722"/>
      <w:bookmarkStart w:id="609" w:name="_Toc71455650"/>
      <w:bookmarkStart w:id="610" w:name="_Toc71455699"/>
      <w:bookmarkStart w:id="611" w:name="_Toc71455756"/>
      <w:bookmarkStart w:id="612" w:name="_Toc71466736"/>
      <w:bookmarkStart w:id="613" w:name="_Toc71497680"/>
      <w:bookmarkStart w:id="614" w:name="_Toc71548555"/>
      <w:bookmarkStart w:id="615" w:name="_Toc71549057"/>
      <w:bookmarkStart w:id="616" w:name="_Toc71582110"/>
      <w:bookmarkStart w:id="617" w:name="_Toc71582858"/>
      <w:bookmarkStart w:id="618" w:name="_Toc71583846"/>
      <w:bookmarkStart w:id="619" w:name="_Toc74332580"/>
      <w:bookmarkStart w:id="620" w:name="_Toc74332627"/>
      <w:bookmarkStart w:id="621" w:name="_Toc74563986"/>
      <w:bookmarkStart w:id="622" w:name="_Toc75181363"/>
      <w:bookmarkStart w:id="623" w:name="_Toc75275825"/>
      <w:bookmarkStart w:id="624" w:name="_Toc75276046"/>
      <w:bookmarkStart w:id="625" w:name="_Toc75345077"/>
      <w:bookmarkStart w:id="626" w:name="_Toc75426334"/>
      <w:bookmarkStart w:id="627" w:name="_Toc75426997"/>
      <w:bookmarkStart w:id="628" w:name="_Toc75427039"/>
      <w:bookmarkStart w:id="629" w:name="_Toc76038178"/>
      <w:bookmarkStart w:id="630" w:name="_Toc76038229"/>
      <w:bookmarkStart w:id="631" w:name="_Toc78842346"/>
      <w:bookmarkStart w:id="632" w:name="_Toc78990140"/>
      <w:bookmarkStart w:id="633" w:name="_Toc78997199"/>
      <w:bookmarkStart w:id="634" w:name="_Toc79084887"/>
      <w:bookmarkStart w:id="635" w:name="_Toc79085068"/>
      <w:bookmarkStart w:id="636" w:name="_Toc79095290"/>
      <w:bookmarkStart w:id="637" w:name="_Toc79095332"/>
      <w:bookmarkStart w:id="638" w:name="_Toc79095644"/>
      <w:bookmarkStart w:id="639" w:name="_Toc79097368"/>
      <w:r>
        <w:t>If the UE reports the TA value, the gNB can accurately estimate the UE position. Thus, there is no point in not reporting the UE position from a privacy perspective</w:t>
      </w:r>
      <w:r w:rsidRPr="00C53B14">
        <w:t>.</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r>
        <w:t xml:space="preserve"> </w:t>
      </w:r>
    </w:p>
    <w:p w14:paraId="2CD2773F" w14:textId="77777777" w:rsidR="00AD29F9" w:rsidRPr="00C53B14" w:rsidRDefault="00AD29F9" w:rsidP="00AD29F9">
      <w:pPr>
        <w:pStyle w:val="Observation"/>
      </w:pPr>
      <w:bookmarkStart w:id="640" w:name="_Toc85150670"/>
      <w:bookmarkStart w:id="641" w:name="_Toc85151668"/>
      <w:bookmarkStart w:id="642" w:name="_Toc85180931"/>
      <w:bookmarkStart w:id="643" w:name="_Toc85181004"/>
      <w:bookmarkStart w:id="644" w:name="_Toc85747874"/>
      <w:bookmarkStart w:id="645" w:name="_Toc85747990"/>
      <w:bookmarkStart w:id="646" w:name="_Toc85750994"/>
      <w:bookmarkStart w:id="647" w:name="_Toc85751045"/>
      <w:bookmarkStart w:id="648" w:name="_Toc85751111"/>
      <w:bookmarkStart w:id="649" w:name="_Toc85751175"/>
      <w:bookmarkStart w:id="650" w:name="_Toc85751335"/>
      <w:bookmarkStart w:id="651" w:name="_Toc85762105"/>
      <w:bookmarkStart w:id="652" w:name="_Toc90942511"/>
      <w:bookmarkStart w:id="653" w:name="_Toc90942714"/>
      <w:bookmarkStart w:id="654" w:name="_Toc91169141"/>
      <w:bookmarkStart w:id="655" w:name="_Toc91170907"/>
      <w:bookmarkStart w:id="656" w:name="_Toc91173325"/>
      <w:bookmarkStart w:id="657" w:name="_Toc91173716"/>
      <w:bookmarkStart w:id="658" w:name="_Toc91174031"/>
      <w:bookmarkStart w:id="659" w:name="_Toc91174544"/>
      <w:bookmarkStart w:id="660" w:name="_Toc91174793"/>
      <w:bookmarkStart w:id="661" w:name="_Toc91175177"/>
      <w:bookmarkStart w:id="662" w:name="_Toc91176435"/>
      <w:bookmarkStart w:id="663" w:name="_Toc91176631"/>
      <w:bookmarkStart w:id="664" w:name="_Toc91176811"/>
      <w:bookmarkStart w:id="665" w:name="_Toc92744033"/>
      <w:bookmarkStart w:id="666" w:name="_Toc92745104"/>
      <w:bookmarkStart w:id="667" w:name="_Toc92787233"/>
      <w:bookmarkStart w:id="668" w:name="_Toc92794769"/>
      <w:bookmarkStart w:id="669" w:name="_Toc92797856"/>
      <w:bookmarkStart w:id="670" w:name="_Toc92797920"/>
      <w:bookmarkStart w:id="671" w:name="_Toc92797998"/>
      <w:r w:rsidRPr="00C53B14">
        <w:t xml:space="preserve">With the UE position and the satellite ephemeris, the gNB can predict TA variations with less signalling than </w:t>
      </w:r>
      <w:r>
        <w:t xml:space="preserve">when </w:t>
      </w:r>
      <w:r w:rsidRPr="00C53B14">
        <w:t xml:space="preserve">the UE report TA or </w:t>
      </w:r>
      <w:r>
        <w:t xml:space="preserve">the UE report </w:t>
      </w:r>
      <w:r w:rsidRPr="00C53B14">
        <w:t>TA+TA drift.</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r>
        <w:t xml:space="preserve"> </w:t>
      </w:r>
    </w:p>
    <w:p w14:paraId="213569C8" w14:textId="77777777" w:rsidR="00AD29F9" w:rsidRPr="00C53B14" w:rsidRDefault="00AD29F9" w:rsidP="00AD29F9">
      <w:pPr>
        <w:pStyle w:val="Observation"/>
      </w:pPr>
      <w:bookmarkStart w:id="672" w:name="_Toc85747875"/>
      <w:bookmarkStart w:id="673" w:name="_Toc85747991"/>
      <w:bookmarkStart w:id="674" w:name="_Toc85750995"/>
      <w:bookmarkStart w:id="675" w:name="_Toc85751046"/>
      <w:bookmarkStart w:id="676" w:name="_Toc85751112"/>
      <w:bookmarkStart w:id="677" w:name="_Toc85751176"/>
      <w:bookmarkStart w:id="678" w:name="_Toc85751336"/>
      <w:bookmarkStart w:id="679" w:name="_Toc85762106"/>
      <w:bookmarkStart w:id="680" w:name="_Toc90942512"/>
      <w:bookmarkStart w:id="681" w:name="_Toc90942715"/>
      <w:bookmarkStart w:id="682" w:name="_Toc91169142"/>
      <w:bookmarkStart w:id="683" w:name="_Toc91170908"/>
      <w:bookmarkStart w:id="684" w:name="_Toc91173326"/>
      <w:bookmarkStart w:id="685" w:name="_Toc91173717"/>
      <w:bookmarkStart w:id="686" w:name="_Toc91174032"/>
      <w:bookmarkStart w:id="687" w:name="_Toc91174545"/>
      <w:bookmarkStart w:id="688" w:name="_Toc91174794"/>
      <w:bookmarkStart w:id="689" w:name="_Toc91175178"/>
      <w:bookmarkStart w:id="690" w:name="_Toc91176436"/>
      <w:bookmarkStart w:id="691" w:name="_Toc91176632"/>
      <w:bookmarkStart w:id="692" w:name="_Toc91176812"/>
      <w:bookmarkStart w:id="693" w:name="_Toc92744034"/>
      <w:bookmarkStart w:id="694" w:name="_Toc92745105"/>
      <w:bookmarkStart w:id="695" w:name="_Toc92787234"/>
      <w:bookmarkStart w:id="696" w:name="_Toc92794770"/>
      <w:bookmarkStart w:id="697" w:name="_Toc92797857"/>
      <w:bookmarkStart w:id="698" w:name="_Toc92797921"/>
      <w:bookmarkStart w:id="699" w:name="_Toc92797999"/>
      <w:bookmarkStart w:id="700" w:name="_Toc67610824"/>
      <w:bookmarkStart w:id="701" w:name="_Toc67616118"/>
      <w:bookmarkStart w:id="702" w:name="_Toc67616249"/>
      <w:bookmarkStart w:id="703" w:name="_Toc67616391"/>
      <w:bookmarkStart w:id="704" w:name="_Toc67616422"/>
      <w:bookmarkStart w:id="705" w:name="_Toc67616502"/>
      <w:bookmarkStart w:id="706" w:name="_Toc67616533"/>
      <w:bookmarkStart w:id="707" w:name="_Toc67616543"/>
      <w:bookmarkStart w:id="708" w:name="_Toc67616574"/>
      <w:bookmarkStart w:id="709" w:name="_Toc67616584"/>
      <w:bookmarkStart w:id="710" w:name="_Toc67616618"/>
      <w:bookmarkStart w:id="711" w:name="_Toc67748956"/>
      <w:r>
        <w:t>T</w:t>
      </w:r>
      <w:r w:rsidRPr="00C53B14">
        <w:t xml:space="preserve">he UE position </w:t>
      </w:r>
      <w:r>
        <w:t>is useful to receive in the gNB to improve Tracking Area selection and to improve the Radio Resource Management</w:t>
      </w:r>
      <w:r w:rsidRPr="00C53B14">
        <w:t>.</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r>
        <w:t xml:space="preserve"> </w:t>
      </w:r>
    </w:p>
    <w:p w14:paraId="1927D27C" w14:textId="77777777" w:rsidR="00AD29F9" w:rsidRPr="00C53B14" w:rsidRDefault="00AD29F9" w:rsidP="00AD29F9"/>
    <w:p w14:paraId="27C294B3" w14:textId="03A699AC" w:rsidR="00AD29F9" w:rsidRDefault="00AD29F9" w:rsidP="00AD29F9">
      <w:pPr>
        <w:pStyle w:val="Proposal"/>
      </w:pPr>
      <w:bookmarkStart w:id="712" w:name="_Toc85750997"/>
      <w:bookmarkStart w:id="713" w:name="_Toc85751011"/>
      <w:bookmarkStart w:id="714" w:name="_Toc85751048"/>
      <w:bookmarkStart w:id="715" w:name="_Toc85751062"/>
      <w:bookmarkStart w:id="716" w:name="_Toc85751114"/>
      <w:bookmarkStart w:id="717" w:name="_Toc85751122"/>
      <w:bookmarkStart w:id="718" w:name="_Toc85751178"/>
      <w:bookmarkStart w:id="719" w:name="_Toc85751186"/>
      <w:bookmarkStart w:id="720" w:name="_Toc85751338"/>
      <w:bookmarkStart w:id="721" w:name="_Toc85751346"/>
      <w:bookmarkStart w:id="722" w:name="_Toc85762108"/>
      <w:bookmarkStart w:id="723" w:name="_Toc85762116"/>
      <w:bookmarkStart w:id="724" w:name="_Toc90942513"/>
      <w:bookmarkStart w:id="725" w:name="_Toc90942521"/>
      <w:bookmarkStart w:id="726" w:name="_Toc90942716"/>
      <w:bookmarkStart w:id="727" w:name="_Toc90942724"/>
      <w:bookmarkStart w:id="728" w:name="_Toc91169143"/>
      <w:bookmarkStart w:id="729" w:name="_Toc91169151"/>
      <w:bookmarkStart w:id="730" w:name="_Toc91170909"/>
      <w:bookmarkStart w:id="731" w:name="_Toc91170917"/>
      <w:bookmarkStart w:id="732" w:name="_Toc91173327"/>
      <w:bookmarkStart w:id="733" w:name="_Toc91173335"/>
      <w:bookmarkStart w:id="734" w:name="_Toc91173718"/>
      <w:bookmarkStart w:id="735" w:name="_Toc91173726"/>
      <w:bookmarkStart w:id="736" w:name="_Toc91174033"/>
      <w:bookmarkStart w:id="737" w:name="_Toc91174041"/>
      <w:bookmarkStart w:id="738" w:name="_Toc91174546"/>
      <w:bookmarkStart w:id="739" w:name="_Toc91174555"/>
      <w:bookmarkStart w:id="740" w:name="_Toc91174795"/>
      <w:bookmarkStart w:id="741" w:name="_Toc91174805"/>
      <w:bookmarkStart w:id="742" w:name="_Toc91175179"/>
      <w:bookmarkStart w:id="743" w:name="_Toc91175189"/>
      <w:bookmarkStart w:id="744" w:name="_Toc91176437"/>
      <w:bookmarkStart w:id="745" w:name="_Toc91176453"/>
      <w:bookmarkStart w:id="746" w:name="_Toc91176633"/>
      <w:bookmarkStart w:id="747" w:name="_Toc91176649"/>
      <w:bookmarkStart w:id="748" w:name="_Toc91176813"/>
      <w:bookmarkStart w:id="749" w:name="_Toc91176829"/>
      <w:bookmarkStart w:id="750" w:name="_Toc92744035"/>
      <w:bookmarkStart w:id="751" w:name="_Toc92744052"/>
      <w:bookmarkStart w:id="752" w:name="_Toc92745106"/>
      <w:bookmarkStart w:id="753" w:name="_Toc92745125"/>
      <w:bookmarkStart w:id="754" w:name="_Toc92787235"/>
      <w:bookmarkStart w:id="755" w:name="_Toc92787254"/>
      <w:bookmarkStart w:id="756" w:name="_Toc92794771"/>
      <w:bookmarkStart w:id="757" w:name="_Toc92794790"/>
      <w:bookmarkStart w:id="758" w:name="_Toc92797858"/>
      <w:bookmarkStart w:id="759" w:name="_Toc92797877"/>
      <w:bookmarkStart w:id="760" w:name="_Toc92797922"/>
      <w:bookmarkStart w:id="761" w:name="_Toc92797938"/>
      <w:bookmarkStart w:id="762" w:name="_Toc92798000"/>
      <w:bookmarkStart w:id="763" w:name="_Toc92798016"/>
      <w:bookmarkEnd w:id="700"/>
      <w:bookmarkEnd w:id="701"/>
      <w:bookmarkEnd w:id="702"/>
      <w:bookmarkEnd w:id="703"/>
      <w:bookmarkEnd w:id="704"/>
      <w:bookmarkEnd w:id="705"/>
      <w:bookmarkEnd w:id="706"/>
      <w:bookmarkEnd w:id="707"/>
      <w:bookmarkEnd w:id="708"/>
      <w:bookmarkEnd w:id="709"/>
      <w:bookmarkEnd w:id="710"/>
      <w:bookmarkEnd w:id="711"/>
      <w:r>
        <w:t xml:space="preserve">If </w:t>
      </w:r>
      <w:r>
        <w:rPr>
          <w:lang w:eastAsia="en-GB"/>
        </w:rPr>
        <w:t>t</w:t>
      </w:r>
      <w:r w:rsidRPr="00C53B14">
        <w:rPr>
          <w:lang w:eastAsia="en-GB"/>
        </w:rPr>
        <w:t xml:space="preserve">he </w:t>
      </w:r>
      <w:r>
        <w:t>information</w:t>
      </w:r>
      <w:r w:rsidRPr="00C53B14">
        <w:t xml:space="preserve"> about UE specific TA pre-compensation </w:t>
      </w:r>
      <w:r>
        <w:t xml:space="preserve">in connected mode </w:t>
      </w:r>
      <w:r>
        <w:rPr>
          <w:lang w:eastAsia="en-GB"/>
        </w:rPr>
        <w:t>is the UE position</w:t>
      </w:r>
      <w:r>
        <w:t xml:space="preserve">, then the event triggered report of information about the UE specific TA pre-compensation </w:t>
      </w:r>
      <w:bookmarkEnd w:id="712"/>
      <w:bookmarkEnd w:id="713"/>
      <w:bookmarkEnd w:id="714"/>
      <w:bookmarkEnd w:id="715"/>
      <w:bookmarkEnd w:id="716"/>
      <w:bookmarkEnd w:id="717"/>
      <w:bookmarkEnd w:id="718"/>
      <w:bookmarkEnd w:id="719"/>
      <w:bookmarkEnd w:id="720"/>
      <w:bookmarkEnd w:id="721"/>
      <w:bookmarkEnd w:id="722"/>
      <w:bookmarkEnd w:id="723"/>
      <w:r>
        <w:t>can be the same as in</w:t>
      </w:r>
      <w:r w:rsidR="00600F82">
        <w:t xml:space="preserve"> </w:t>
      </w:r>
      <w:r w:rsidR="00600F82">
        <w:fldChar w:fldCharType="begin"/>
      </w:r>
      <w:r w:rsidR="00600F82">
        <w:instrText xml:space="preserve"> REF _Ref91173745 \r \h </w:instrText>
      </w:r>
      <w:r w:rsidR="00600F82">
        <w:fldChar w:fldCharType="separate"/>
      </w:r>
      <w:r w:rsidR="003908C9">
        <w:t>Proposal 6</w:t>
      </w:r>
      <w:r w:rsidR="00600F82">
        <w:fldChar w:fldCharType="end"/>
      </w:r>
      <w:r w:rsidR="00600F82">
        <w:t xml:space="preserve"> and</w:t>
      </w:r>
      <w:r>
        <w:t xml:space="preserve"> </w:t>
      </w:r>
      <w:r>
        <w:fldChar w:fldCharType="begin"/>
      </w:r>
      <w:r>
        <w:instrText xml:space="preserve"> REF _Ref90940764 \r \h </w:instrText>
      </w:r>
      <w:r>
        <w:fldChar w:fldCharType="separate"/>
      </w:r>
      <w:r w:rsidR="003908C9">
        <w:t>Proposal 7</w:t>
      </w:r>
      <w:r>
        <w:fldChar w:fldCharType="end"/>
      </w:r>
      <w:r>
        <w:t xml:space="preserve"> but the reported quantity can be the UE location.</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r>
        <w:t xml:space="preserve"> </w:t>
      </w:r>
    </w:p>
    <w:p w14:paraId="03C153D9" w14:textId="011F211E" w:rsidR="00AD29F9" w:rsidRDefault="00AD29F9" w:rsidP="00F67CCC">
      <w:r>
        <w:t xml:space="preserve">The advantage of this trigger is that the UE do not need to remember the </w:t>
      </w:r>
      <w:r w:rsidR="00C472F6">
        <w:t>“</w:t>
      </w:r>
      <w:r>
        <w:t>last successful reported location</w:t>
      </w:r>
      <w:r w:rsidR="00C472F6">
        <w:t>”</w:t>
      </w:r>
      <w:r>
        <w:t xml:space="preserve">, nor the last successful reported TA (however the UE would know that the gNB have received a report?). </w:t>
      </w:r>
    </w:p>
    <w:p w14:paraId="4D0C32AB" w14:textId="229F22EC" w:rsidR="00AD29F9" w:rsidRDefault="00AD29F9" w:rsidP="00F67CCC"/>
    <w:p w14:paraId="4E3EBE5B" w14:textId="31C520DA" w:rsidR="007528D0" w:rsidRPr="00C53B14" w:rsidRDefault="007528D0" w:rsidP="007528D0">
      <w:pPr>
        <w:pStyle w:val="Heading1"/>
      </w:pPr>
      <w:r>
        <w:t>UE specific Koffset</w:t>
      </w:r>
    </w:p>
    <w:p w14:paraId="71543C5A" w14:textId="77777777" w:rsidR="00A57B02" w:rsidRDefault="00A57B02" w:rsidP="007528D0">
      <w:pPr>
        <w:rPr>
          <w:lang w:eastAsia="zh-CN"/>
        </w:rPr>
      </w:pPr>
    </w:p>
    <w:p w14:paraId="479C3245" w14:textId="77777777" w:rsidR="00A57B02" w:rsidRDefault="00A57B02" w:rsidP="00A57B02">
      <w:pPr>
        <w:rPr>
          <w:lang w:eastAsia="zh-CN"/>
        </w:rPr>
      </w:pPr>
      <w:r>
        <w:rPr>
          <w:lang w:eastAsia="zh-CN"/>
        </w:rPr>
        <w:t xml:space="preserve">At RAN1#106 the following was agreed: </w:t>
      </w:r>
    </w:p>
    <w:p w14:paraId="4E41585B" w14:textId="77777777" w:rsidR="00A57B02" w:rsidRDefault="00A57B02" w:rsidP="00A57B02">
      <w:pPr>
        <w:rPr>
          <w:lang w:eastAsia="x-none"/>
        </w:rPr>
      </w:pPr>
      <w:r>
        <w:rPr>
          <w:highlight w:val="green"/>
          <w:lang w:eastAsia="x-none"/>
        </w:rPr>
        <w:t>Agreement:</w:t>
      </w:r>
      <w:r>
        <w:rPr>
          <w:lang w:eastAsia="x-none"/>
        </w:rPr>
        <w:t xml:space="preserve"> </w:t>
      </w:r>
    </w:p>
    <w:p w14:paraId="3BE78C5A" w14:textId="77777777" w:rsidR="00A57B02" w:rsidRDefault="00A57B02" w:rsidP="00A57B02">
      <w:pPr>
        <w:numPr>
          <w:ilvl w:val="0"/>
          <w:numId w:val="35"/>
        </w:numPr>
        <w:spacing w:after="0" w:line="240" w:lineRule="auto"/>
        <w:rPr>
          <w:lang w:eastAsia="x-none"/>
        </w:rPr>
      </w:pPr>
      <w:r>
        <w:rPr>
          <w:lang w:eastAsia="x-none"/>
        </w:rPr>
        <w:t>The UE-specific K_offset can be provided and updated by network with MAC CE.</w:t>
      </w:r>
    </w:p>
    <w:p w14:paraId="3D0024BF" w14:textId="77777777" w:rsidR="00A57B02" w:rsidRDefault="00A57B02" w:rsidP="00A57B02">
      <w:pPr>
        <w:numPr>
          <w:ilvl w:val="0"/>
          <w:numId w:val="35"/>
        </w:numPr>
        <w:spacing w:after="0" w:line="240" w:lineRule="auto"/>
        <w:rPr>
          <w:lang w:eastAsia="x-none"/>
        </w:rPr>
      </w:pPr>
      <w:r>
        <w:rPr>
          <w:lang w:eastAsia="x-none"/>
        </w:rPr>
        <w:t>FFS: UE can be provided and updated by network with a UE-specific K_offset in RRC reconfiguration</w:t>
      </w:r>
    </w:p>
    <w:p w14:paraId="498E9B3D" w14:textId="77777777" w:rsidR="00A57B02" w:rsidRDefault="00A57B02" w:rsidP="00A57B02">
      <w:pPr>
        <w:numPr>
          <w:ilvl w:val="1"/>
          <w:numId w:val="35"/>
        </w:numPr>
        <w:spacing w:after="0" w:line="240" w:lineRule="auto"/>
        <w:rPr>
          <w:lang w:eastAsia="zh-CN"/>
        </w:rPr>
      </w:pPr>
      <w:r>
        <w:rPr>
          <w:lang w:eastAsia="x-none"/>
        </w:rPr>
        <w:t>FFS: Details on whether and how the two solutions work together</w:t>
      </w:r>
    </w:p>
    <w:p w14:paraId="62BA9AF7" w14:textId="77777777" w:rsidR="00A57B02" w:rsidRDefault="00A57B02" w:rsidP="007528D0">
      <w:pPr>
        <w:rPr>
          <w:lang w:eastAsia="zh-CN"/>
        </w:rPr>
      </w:pPr>
    </w:p>
    <w:p w14:paraId="0A3F6439" w14:textId="2C4D3E8D" w:rsidR="007528D0" w:rsidRDefault="007528D0" w:rsidP="007528D0">
      <w:pPr>
        <w:rPr>
          <w:lang w:eastAsia="zh-CN"/>
        </w:rPr>
      </w:pPr>
      <w:r>
        <w:rPr>
          <w:lang w:eastAsia="zh-CN"/>
        </w:rPr>
        <w:t xml:space="preserve">Further RAN1 provided the LS on MAC CE impacts for Rel17 in R1-2112842 </w:t>
      </w:r>
      <w:r>
        <w:rPr>
          <w:lang w:eastAsia="zh-CN"/>
        </w:rPr>
        <w:fldChar w:fldCharType="begin"/>
      </w:r>
      <w:r>
        <w:rPr>
          <w:lang w:eastAsia="zh-CN"/>
        </w:rPr>
        <w:instrText xml:space="preserve"> REF _Ref92741986 \r \h </w:instrText>
      </w:r>
      <w:r>
        <w:rPr>
          <w:lang w:eastAsia="zh-CN"/>
        </w:rPr>
      </w:r>
      <w:r>
        <w:rPr>
          <w:lang w:eastAsia="zh-CN"/>
        </w:rPr>
        <w:fldChar w:fldCharType="separate"/>
      </w:r>
      <w:r w:rsidR="003908C9">
        <w:rPr>
          <w:lang w:eastAsia="zh-CN"/>
        </w:rPr>
        <w:t>[4]</w:t>
      </w:r>
      <w:r>
        <w:rPr>
          <w:lang w:eastAsia="zh-CN"/>
        </w:rPr>
        <w:fldChar w:fldCharType="end"/>
      </w:r>
      <w:r>
        <w:rPr>
          <w:lang w:eastAsia="zh-CN"/>
        </w:rPr>
        <w:t xml:space="preserve"> from RAN1#107e with the request to include a </w:t>
      </w:r>
      <w:r w:rsidRPr="000D5A8B">
        <w:rPr>
          <w:lang w:eastAsia="zh-CN"/>
        </w:rPr>
        <w:t>UESpecific_Koffset</w:t>
      </w:r>
      <w:r>
        <w:rPr>
          <w:lang w:eastAsia="zh-CN"/>
        </w:rPr>
        <w:t xml:space="preserve"> (RAN1 temporary name) MAC CE with a value range TBD and</w:t>
      </w:r>
      <w:r w:rsidR="00A7735C">
        <w:rPr>
          <w:lang w:eastAsia="zh-CN"/>
        </w:rPr>
        <w:t xml:space="preserve"> a request that</w:t>
      </w:r>
      <w:r>
        <w:rPr>
          <w:lang w:eastAsia="zh-CN"/>
        </w:rPr>
        <w:t xml:space="preserve"> RAN2 select a MAC CE name.</w:t>
      </w:r>
      <w:r w:rsidR="00497821">
        <w:rPr>
          <w:lang w:eastAsia="zh-CN"/>
        </w:rPr>
        <w:t xml:space="preserve"> </w:t>
      </w:r>
    </w:p>
    <w:p w14:paraId="58A03184" w14:textId="0A4BD65C" w:rsidR="00A57B02" w:rsidRDefault="00A57B02" w:rsidP="00A57B02">
      <w:pPr>
        <w:pStyle w:val="Proposal"/>
      </w:pPr>
      <w:bookmarkStart w:id="764" w:name="_Toc92744036"/>
      <w:bookmarkStart w:id="765" w:name="_Toc92744053"/>
      <w:bookmarkStart w:id="766" w:name="_Toc92745107"/>
      <w:bookmarkStart w:id="767" w:name="_Toc92745126"/>
      <w:bookmarkStart w:id="768" w:name="_Toc92787236"/>
      <w:bookmarkStart w:id="769" w:name="_Toc92787255"/>
      <w:bookmarkStart w:id="770" w:name="_Toc92794772"/>
      <w:bookmarkStart w:id="771" w:name="_Toc92794791"/>
      <w:bookmarkStart w:id="772" w:name="_Toc92797859"/>
      <w:bookmarkStart w:id="773" w:name="_Toc92797878"/>
      <w:bookmarkStart w:id="774" w:name="_Toc92797923"/>
      <w:bookmarkStart w:id="775" w:name="_Toc92797939"/>
      <w:bookmarkStart w:id="776" w:name="_Toc92798001"/>
      <w:bookmarkStart w:id="777" w:name="_Toc92798017"/>
      <w:r>
        <w:t>RAN2 to discuss the UE specific Koffset MAC CE</w:t>
      </w:r>
      <w:r w:rsidR="00497821">
        <w:t xml:space="preserve"> name and whether it uses an LCID or eLCID</w:t>
      </w:r>
      <w:r>
        <w:t>.</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r>
        <w:t xml:space="preserve"> </w:t>
      </w:r>
    </w:p>
    <w:p w14:paraId="2211F29A" w14:textId="77777777" w:rsidR="007528D0" w:rsidRPr="007528D0" w:rsidRDefault="007528D0" w:rsidP="007528D0"/>
    <w:p w14:paraId="697D268C" w14:textId="45D21A92" w:rsidR="003B0613" w:rsidRPr="00C53B14" w:rsidRDefault="003B0613" w:rsidP="003B0613">
      <w:pPr>
        <w:pStyle w:val="Heading1"/>
      </w:pPr>
      <w:r>
        <w:t>UL sync</w:t>
      </w:r>
      <w:r w:rsidR="00E4600A">
        <w:t>h</w:t>
      </w:r>
      <w:r>
        <w:t>ronisation</w:t>
      </w:r>
      <w:r w:rsidR="00E4600A">
        <w:t xml:space="preserve"> </w:t>
      </w:r>
    </w:p>
    <w:p w14:paraId="4E0B7E04" w14:textId="061CB2E3" w:rsidR="003B0613" w:rsidRDefault="00E4600A" w:rsidP="00F67CCC">
      <w:r>
        <w:t>RAN1 have agreed that when the ephemeris and commonTA are in the same SIB,</w:t>
      </w:r>
      <w:r w:rsidR="006978D3">
        <w:t xml:space="preserve"> and</w:t>
      </w:r>
      <w:r>
        <w:t xml:space="preserve"> they are accompanied with an UL synchronisation timer. </w:t>
      </w:r>
    </w:p>
    <w:p w14:paraId="297CAC2C" w14:textId="28521BF2" w:rsidR="006978D3" w:rsidRDefault="00E4600A" w:rsidP="00F67CCC">
      <w:r>
        <w:t>As the UE cannot be sure to have the correct uplink timing</w:t>
      </w:r>
      <w:r w:rsidR="006978D3">
        <w:t xml:space="preserve"> when</w:t>
      </w:r>
      <w:r>
        <w:t xml:space="preserve"> this new timer expires– the UE must refrain from sending any UL transmissions. </w:t>
      </w:r>
    </w:p>
    <w:p w14:paraId="367D0960" w14:textId="179CD275" w:rsidR="006978D3" w:rsidRDefault="006978D3" w:rsidP="00F67CCC">
      <w:r>
        <w:t xml:space="preserve">When the UE fails to acquire the GNSS fix for the UE location to be used in the full TA calculation, the UE must refrain from making any UL transmissions. </w:t>
      </w:r>
    </w:p>
    <w:p w14:paraId="49A75D75" w14:textId="7106E2A3" w:rsidR="00E4600A" w:rsidRDefault="00E4600A" w:rsidP="00F67CCC">
      <w:r>
        <w:t xml:space="preserve">As the need of GNSS fix may depend on the UE implementation as UEs may apply techniques to updates its </w:t>
      </w:r>
      <w:r w:rsidR="00B451A0">
        <w:t xml:space="preserve">location </w:t>
      </w:r>
      <w:r>
        <w:t xml:space="preserve">based on other methods than reading the GNSS, this part is better left to the UE implementation. </w:t>
      </w:r>
    </w:p>
    <w:p w14:paraId="421F5271" w14:textId="143F3B0E" w:rsidR="00E4600A" w:rsidRDefault="00E4600A" w:rsidP="001C5FF4">
      <w:pPr>
        <w:pStyle w:val="Observation"/>
      </w:pPr>
      <w:bookmarkStart w:id="778" w:name="_Toc91176438"/>
      <w:bookmarkStart w:id="779" w:name="_Toc91176454"/>
      <w:bookmarkStart w:id="780" w:name="_Toc91176634"/>
      <w:bookmarkStart w:id="781" w:name="_Toc91176650"/>
      <w:bookmarkStart w:id="782" w:name="_Toc91176814"/>
      <w:bookmarkStart w:id="783" w:name="_Toc91176830"/>
      <w:bookmarkStart w:id="784" w:name="_Toc92744037"/>
      <w:bookmarkStart w:id="785" w:name="_Toc92744054"/>
      <w:bookmarkStart w:id="786" w:name="_Toc92745108"/>
      <w:bookmarkStart w:id="787" w:name="_Toc92787237"/>
      <w:bookmarkStart w:id="788" w:name="_Toc92794773"/>
      <w:bookmarkStart w:id="789" w:name="_Toc92797860"/>
      <w:bookmarkStart w:id="790" w:name="_Toc92797924"/>
      <w:bookmarkStart w:id="791" w:name="_Toc92798002"/>
      <w:r>
        <w:t>If the UL synchronisation timer expires, the UE must stop all uplink transmissions.</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r>
        <w:t xml:space="preserve"> </w:t>
      </w:r>
    </w:p>
    <w:p w14:paraId="53D7D8E6" w14:textId="2410E579" w:rsidR="00E4600A" w:rsidRDefault="00E4600A" w:rsidP="001C5FF4">
      <w:pPr>
        <w:pStyle w:val="Observation"/>
      </w:pPr>
      <w:bookmarkStart w:id="792" w:name="_Toc91176439"/>
      <w:bookmarkStart w:id="793" w:name="_Toc91176455"/>
      <w:bookmarkStart w:id="794" w:name="_Toc91176635"/>
      <w:bookmarkStart w:id="795" w:name="_Toc91176651"/>
      <w:bookmarkStart w:id="796" w:name="_Toc91176815"/>
      <w:bookmarkStart w:id="797" w:name="_Toc91176831"/>
      <w:bookmarkStart w:id="798" w:name="_Toc92798003"/>
      <w:bookmarkStart w:id="799" w:name="_Toc92744038"/>
      <w:bookmarkStart w:id="800" w:name="_Toc92744055"/>
      <w:bookmarkStart w:id="801" w:name="_Toc92745109"/>
      <w:bookmarkStart w:id="802" w:name="_Toc92787238"/>
      <w:bookmarkStart w:id="803" w:name="_Toc92794774"/>
      <w:bookmarkStart w:id="804" w:name="_Toc92797861"/>
      <w:bookmarkStart w:id="805" w:name="_Toc92797925"/>
      <w:r>
        <w:t>If the UE fails to acquire a</w:t>
      </w:r>
      <w:r w:rsidR="00B451A0">
        <w:t>n</w:t>
      </w:r>
      <w:r>
        <w:t xml:space="preserve"> </w:t>
      </w:r>
      <w:r w:rsidR="00B451A0">
        <w:t>accurate UE</w:t>
      </w:r>
      <w:r w:rsidR="006978D3">
        <w:t xml:space="preserve"> location</w:t>
      </w:r>
      <w:r>
        <w:t xml:space="preserve"> to </w:t>
      </w:r>
      <w:r w:rsidR="006978D3">
        <w:t xml:space="preserve">be used in </w:t>
      </w:r>
      <w:r>
        <w:t xml:space="preserve">the calculation of the full TA, the UE must stop all uplink transmissions. The detection and frequency of UE updates of </w:t>
      </w:r>
      <w:r w:rsidR="00B451A0">
        <w:t>UE location</w:t>
      </w:r>
      <w:r>
        <w:t xml:space="preserve"> is left to UE implementation.</w:t>
      </w:r>
      <w:bookmarkEnd w:id="792"/>
      <w:bookmarkEnd w:id="793"/>
      <w:bookmarkEnd w:id="794"/>
      <w:bookmarkEnd w:id="795"/>
      <w:bookmarkEnd w:id="796"/>
      <w:bookmarkEnd w:id="797"/>
      <w:bookmarkEnd w:id="798"/>
      <w:r>
        <w:t xml:space="preserve"> </w:t>
      </w:r>
      <w:bookmarkEnd w:id="799"/>
      <w:bookmarkEnd w:id="800"/>
      <w:bookmarkEnd w:id="801"/>
      <w:bookmarkEnd w:id="802"/>
      <w:bookmarkEnd w:id="803"/>
      <w:bookmarkEnd w:id="804"/>
      <w:bookmarkEnd w:id="805"/>
    </w:p>
    <w:p w14:paraId="49958944" w14:textId="5AE7BC91" w:rsidR="00E4600A" w:rsidRDefault="00EB408A" w:rsidP="00F67CCC">
      <w:r>
        <w:t xml:space="preserve">In some cases, </w:t>
      </w:r>
      <w:r w:rsidR="00E4600A">
        <w:t>the UE</w:t>
      </w:r>
      <w:r w:rsidR="008B3DBE">
        <w:t xml:space="preserve"> </w:t>
      </w:r>
      <w:r>
        <w:t xml:space="preserve">may </w:t>
      </w:r>
      <w:r w:rsidR="00E4600A">
        <w:t xml:space="preserve">reacquire the UL synchronisation </w:t>
      </w:r>
      <w:r w:rsidR="008B3DBE">
        <w:t xml:space="preserve">or </w:t>
      </w:r>
      <w:r>
        <w:t xml:space="preserve">reacquire </w:t>
      </w:r>
      <w:r w:rsidR="00B451A0">
        <w:t>an accurate UE location</w:t>
      </w:r>
      <w:r w:rsidR="008B3DBE">
        <w:t xml:space="preserve"> within a short </w:t>
      </w:r>
      <w:r>
        <w:t xml:space="preserve">period of </w:t>
      </w:r>
      <w:r w:rsidR="008B3DBE">
        <w:t xml:space="preserve">time, and then it would be a waste of resources if the UE drops all the RRC configured UL resources as it can continue using the UL resources. </w:t>
      </w:r>
      <w:r w:rsidR="00EE4A17">
        <w:t>This may be achieved by adding a new timer during which the UE may reacquire the ephemeris/commonTA and/or the accurate UE location.</w:t>
      </w:r>
      <w:r w:rsidR="00EE4A17" w:rsidDel="00B451A0">
        <w:t xml:space="preserve"> </w:t>
      </w:r>
      <w:r w:rsidR="00EE4A17">
        <w:t>I</w:t>
      </w:r>
      <w:r w:rsidR="008B3DBE">
        <w:t>f the UE fails to reacquire synchronisation</w:t>
      </w:r>
      <w:r w:rsidR="006A0783">
        <w:t xml:space="preserve"> </w:t>
      </w:r>
      <w:r w:rsidR="00EE4A17">
        <w:t>before this new timer expires</w:t>
      </w:r>
      <w:r w:rsidR="008B3DBE">
        <w:t>, all configured resources</w:t>
      </w:r>
      <w:r>
        <w:t xml:space="preserve"> needs to be dropped</w:t>
      </w:r>
      <w:r w:rsidR="008B3DBE">
        <w:t xml:space="preserve"> and the higher layers </w:t>
      </w:r>
      <w:r>
        <w:t xml:space="preserve">need to be informed </w:t>
      </w:r>
      <w:r w:rsidR="008B3DBE">
        <w:t>of the event</w:t>
      </w:r>
      <w:r w:rsidR="00B451A0">
        <w:t>, that is to trigger an RLF</w:t>
      </w:r>
      <w:r w:rsidR="008B3DBE">
        <w:t xml:space="preserve">. </w:t>
      </w:r>
    </w:p>
    <w:p w14:paraId="1ECCFBAD" w14:textId="47A2B007" w:rsidR="006A0783" w:rsidRDefault="00B451A0" w:rsidP="00B451A0">
      <w:bookmarkStart w:id="806" w:name="_Toc91176440"/>
      <w:bookmarkStart w:id="807" w:name="_Toc91176456"/>
      <w:bookmarkStart w:id="808" w:name="_Toc91176636"/>
      <w:bookmarkStart w:id="809" w:name="_Toc91176652"/>
      <w:bookmarkStart w:id="810" w:name="_Toc91176816"/>
      <w:bookmarkStart w:id="811" w:name="_Toc91176832"/>
      <w:bookmarkStart w:id="812" w:name="_Toc92744039"/>
      <w:bookmarkStart w:id="813" w:name="_Toc92744056"/>
      <w:r>
        <w:t>However,</w:t>
      </w:r>
      <w:r w:rsidR="006A0783">
        <w:t xml:space="preserve"> the event that the </w:t>
      </w:r>
      <w:r w:rsidR="00EB408A">
        <w:t>UE synchronisation timer expires</w:t>
      </w:r>
      <w:r w:rsidR="006A0783">
        <w:t xml:space="preserve"> or </w:t>
      </w:r>
      <w:r w:rsidR="00EB408A">
        <w:t>that an</w:t>
      </w:r>
      <w:r w:rsidR="006A0783">
        <w:t xml:space="preserve"> accurate UE location </w:t>
      </w:r>
      <w:r w:rsidR="00EB408A">
        <w:t xml:space="preserve">is not available for the UE </w:t>
      </w:r>
      <w:r w:rsidR="006A0783">
        <w:t xml:space="preserve">to do autonomous TA pre-compensation means the UE have </w:t>
      </w:r>
      <w:r w:rsidR="00EE4A17">
        <w:t xml:space="preserve">already </w:t>
      </w:r>
      <w:r w:rsidR="006A0783">
        <w:t>failed</w:t>
      </w:r>
      <w:r w:rsidR="00EB408A">
        <w:t xml:space="preserve"> (the UE is aware of the UL synchronisation timer, and thus when the SIBs need to be reacquired and for how long the UE location needs to be accurate).</w:t>
      </w:r>
      <w:r w:rsidR="006A0783">
        <w:t xml:space="preserve"> </w:t>
      </w:r>
      <w:r w:rsidR="00EE4A17">
        <w:t>At this late stage in the work item, w</w:t>
      </w:r>
      <w:r w:rsidR="006A0783">
        <w:t>e do not need to optimize the performance for this scenario</w:t>
      </w:r>
      <w:r w:rsidR="00EB408A">
        <w:t>, by</w:t>
      </w:r>
      <w:r w:rsidR="00EE4A17">
        <w:t xml:space="preserve"> adding an extra timer before RLF is triggered</w:t>
      </w:r>
      <w:r w:rsidR="006A0783">
        <w:t xml:space="preserve">. </w:t>
      </w:r>
    </w:p>
    <w:p w14:paraId="59446925" w14:textId="4747DEB3" w:rsidR="006A0783" w:rsidRDefault="006A0783" w:rsidP="006A0783">
      <w:pPr>
        <w:pStyle w:val="Proposal"/>
      </w:pPr>
      <w:bookmarkStart w:id="814" w:name="_Toc92745113"/>
      <w:bookmarkStart w:id="815" w:name="_Toc92745130"/>
      <w:bookmarkStart w:id="816" w:name="_Toc92787242"/>
      <w:bookmarkStart w:id="817" w:name="_Toc92787259"/>
      <w:bookmarkStart w:id="818" w:name="_Toc92794778"/>
      <w:bookmarkStart w:id="819" w:name="_Toc92794795"/>
      <w:bookmarkStart w:id="820" w:name="_Toc92797865"/>
      <w:bookmarkStart w:id="821" w:name="_Toc92797882"/>
      <w:bookmarkStart w:id="822" w:name="_Toc92797926"/>
      <w:bookmarkStart w:id="823" w:name="_Toc92797940"/>
      <w:bookmarkStart w:id="824" w:name="_Toc92798004"/>
      <w:bookmarkStart w:id="825" w:name="_Toc92798018"/>
      <w:bookmarkEnd w:id="806"/>
      <w:bookmarkEnd w:id="807"/>
      <w:bookmarkEnd w:id="808"/>
      <w:bookmarkEnd w:id="809"/>
      <w:bookmarkEnd w:id="810"/>
      <w:bookmarkEnd w:id="811"/>
      <w:bookmarkEnd w:id="812"/>
      <w:bookmarkEnd w:id="813"/>
      <w:r>
        <w:t>If the UL synchronization timer expires, the UE stop all uplink transmissions and triggers RLF.</w:t>
      </w:r>
      <w:bookmarkEnd w:id="814"/>
      <w:bookmarkEnd w:id="815"/>
      <w:bookmarkEnd w:id="816"/>
      <w:bookmarkEnd w:id="817"/>
      <w:bookmarkEnd w:id="818"/>
      <w:bookmarkEnd w:id="819"/>
      <w:bookmarkEnd w:id="820"/>
      <w:bookmarkEnd w:id="821"/>
      <w:bookmarkEnd w:id="822"/>
      <w:bookmarkEnd w:id="823"/>
      <w:bookmarkEnd w:id="824"/>
      <w:bookmarkEnd w:id="825"/>
      <w:r>
        <w:t xml:space="preserve"> </w:t>
      </w:r>
    </w:p>
    <w:p w14:paraId="10A12168" w14:textId="5C83CF9E" w:rsidR="006A0783" w:rsidRDefault="006A0783" w:rsidP="006A0783">
      <w:pPr>
        <w:pStyle w:val="Proposal"/>
      </w:pPr>
      <w:bookmarkStart w:id="826" w:name="_Toc92745114"/>
      <w:bookmarkStart w:id="827" w:name="_Toc92745131"/>
      <w:bookmarkStart w:id="828" w:name="_Toc92787243"/>
      <w:bookmarkStart w:id="829" w:name="_Toc92787260"/>
      <w:bookmarkStart w:id="830" w:name="_Toc92794779"/>
      <w:bookmarkStart w:id="831" w:name="_Toc92794796"/>
      <w:bookmarkStart w:id="832" w:name="_Toc92797866"/>
      <w:bookmarkStart w:id="833" w:name="_Toc92797883"/>
      <w:bookmarkStart w:id="834" w:name="_Toc92797927"/>
      <w:bookmarkStart w:id="835" w:name="_Toc92797941"/>
      <w:bookmarkStart w:id="836" w:name="_Toc92798005"/>
      <w:bookmarkStart w:id="837" w:name="_Toc92798019"/>
      <w:r>
        <w:t>If the UE fails to acquire an accurate UE location to be used in the calculation of the full TA, the UE stop all uplink transmissions and trigger RLF.</w:t>
      </w:r>
      <w:bookmarkEnd w:id="826"/>
      <w:bookmarkEnd w:id="827"/>
      <w:bookmarkEnd w:id="828"/>
      <w:bookmarkEnd w:id="829"/>
      <w:bookmarkEnd w:id="830"/>
      <w:bookmarkEnd w:id="831"/>
      <w:bookmarkEnd w:id="832"/>
      <w:bookmarkEnd w:id="833"/>
      <w:bookmarkEnd w:id="834"/>
      <w:bookmarkEnd w:id="835"/>
      <w:bookmarkEnd w:id="836"/>
      <w:bookmarkEnd w:id="837"/>
      <w:r>
        <w:t xml:space="preserve"> </w:t>
      </w:r>
    </w:p>
    <w:p w14:paraId="48ADFA6C" w14:textId="77777777" w:rsidR="00E4600A" w:rsidRDefault="00E4600A" w:rsidP="00F67CCC"/>
    <w:p w14:paraId="0C6036CC" w14:textId="71B08E6E" w:rsidR="00E4600A" w:rsidRPr="00C53B14" w:rsidRDefault="00E4600A" w:rsidP="00E4600A">
      <w:pPr>
        <w:pStyle w:val="Heading1"/>
      </w:pPr>
      <w:r>
        <w:t>Updates of UE-gNB RTT</w:t>
      </w:r>
    </w:p>
    <w:p w14:paraId="30AFC17A" w14:textId="319C5898" w:rsidR="00E4600A" w:rsidRDefault="008B3DBE" w:rsidP="00F67CCC">
      <w:r>
        <w:t xml:space="preserve">The timers that are dependent on the UE-gNB RTT will need to be updated when the UEs estimated full TA is updated. </w:t>
      </w:r>
    </w:p>
    <w:p w14:paraId="0AFF7057" w14:textId="77777777" w:rsidR="00092CC2" w:rsidRDefault="00092CC2" w:rsidP="00092CC2">
      <w:r>
        <w:t xml:space="preserve">For example, drx-HARQ-RTT-TimerDL: in terrestrial networks, the gNB can configure it and as soon as the gNB have received the HARQ ACK/NACK it may send a new assignment based on the feedback, that is the gNB do not need to model this timer. </w:t>
      </w:r>
    </w:p>
    <w:p w14:paraId="4732C20E" w14:textId="43C29EA0" w:rsidR="00092CC2" w:rsidRDefault="00092CC2" w:rsidP="00092CC2">
      <w:r>
        <w:t xml:space="preserve">Is the starting of the drx-HARQ-RTT-TimerDL in NTNs sufficiently accurate that gNB can assume it can always send an assignment based on the received HARQ feedback? </w:t>
      </w:r>
    </w:p>
    <w:p w14:paraId="280A2CBC" w14:textId="715A929E" w:rsidR="008B3DBE" w:rsidRDefault="008B3DBE" w:rsidP="008B3DBE">
      <w:pPr>
        <w:pStyle w:val="Proposal"/>
      </w:pPr>
      <w:bookmarkStart w:id="838" w:name="_Toc91176443"/>
      <w:bookmarkStart w:id="839" w:name="_Toc91176459"/>
      <w:bookmarkStart w:id="840" w:name="_Toc91176639"/>
      <w:bookmarkStart w:id="841" w:name="_Toc91176655"/>
      <w:bookmarkStart w:id="842" w:name="_Toc91176819"/>
      <w:bookmarkStart w:id="843" w:name="_Toc91176835"/>
      <w:bookmarkStart w:id="844" w:name="_Toc92744042"/>
      <w:bookmarkStart w:id="845" w:name="_Toc92744059"/>
      <w:bookmarkStart w:id="846" w:name="_Toc92745115"/>
      <w:bookmarkStart w:id="847" w:name="_Toc92745132"/>
      <w:bookmarkStart w:id="848" w:name="_Toc92787244"/>
      <w:bookmarkStart w:id="849" w:name="_Toc92787261"/>
      <w:bookmarkStart w:id="850" w:name="_Toc92794780"/>
      <w:bookmarkStart w:id="851" w:name="_Toc92794797"/>
      <w:bookmarkStart w:id="852" w:name="_Toc92797867"/>
      <w:bookmarkStart w:id="853" w:name="_Toc92797884"/>
      <w:bookmarkStart w:id="854" w:name="_Toc92797928"/>
      <w:bookmarkStart w:id="855" w:name="_Toc92797942"/>
      <w:bookmarkStart w:id="856" w:name="_Toc92798006"/>
      <w:bookmarkStart w:id="857" w:name="_Toc92798020"/>
      <w:r>
        <w:t>RAN2 to discuss if there is a need to specify how or when timers that use the UE-gNB RTT shall be updated.</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4B46F468" w14:textId="77777777" w:rsidR="008B3DBE" w:rsidRDefault="008B3DBE" w:rsidP="00F67CCC"/>
    <w:p w14:paraId="0345261C" w14:textId="77777777" w:rsidR="004C09E6" w:rsidRPr="00C53B14" w:rsidRDefault="004C09E6" w:rsidP="004C09E6">
      <w:pPr>
        <w:pStyle w:val="Heading1"/>
      </w:pPr>
      <w:r w:rsidRPr="00C53B14">
        <w:t>Conclusion</w:t>
      </w:r>
    </w:p>
    <w:p w14:paraId="0ED3A484" w14:textId="7A485107" w:rsidR="004C09E6" w:rsidRPr="00C53B14" w:rsidRDefault="00E8180A" w:rsidP="004C09E6">
      <w:pPr>
        <w:pStyle w:val="BodyText"/>
      </w:pPr>
      <w:bookmarkStart w:id="858" w:name="_Hlk79077727"/>
      <w:bookmarkStart w:id="859" w:name="_Hlk16780604"/>
      <w:r>
        <w:t>Here we present a combined list of the observations and proposals, and after it there is a list of only the proposals.</w:t>
      </w:r>
    </w:p>
    <w:bookmarkEnd w:id="858"/>
    <w:p w14:paraId="4E198AC9" w14:textId="77777777" w:rsidR="003908C9" w:rsidRDefault="006255FE">
      <w:pPr>
        <w:pStyle w:val="TOC1"/>
        <w:rPr>
          <w:rFonts w:asciiTheme="minorHAnsi" w:eastAsiaTheme="minorEastAsia" w:hAnsiTheme="minorHAnsi" w:cstheme="minorBidi"/>
          <w:b w:val="0"/>
          <w:sz w:val="22"/>
          <w:lang w:val="en-GB" w:eastAsia="en-GB"/>
        </w:rPr>
      </w:pPr>
      <w:r w:rsidRPr="00C53B14">
        <w:rPr>
          <w:bCs/>
          <w:noProof w:val="0"/>
          <w:lang w:val="en-GB"/>
        </w:rPr>
        <w:fldChar w:fldCharType="begin"/>
      </w:r>
      <w:r w:rsidRPr="00C53B14">
        <w:rPr>
          <w:bCs/>
          <w:noProof w:val="0"/>
          <w:lang w:val="en-GB"/>
        </w:rPr>
        <w:instrText xml:space="preserve"> TOC \n \p " " \t "Proposal;1;Observation;1" </w:instrText>
      </w:r>
      <w:r w:rsidRPr="00C53B14">
        <w:rPr>
          <w:bCs/>
          <w:noProof w:val="0"/>
          <w:lang w:val="en-GB"/>
        </w:rPr>
        <w:fldChar w:fldCharType="separate"/>
      </w:r>
      <w:r w:rsidR="003908C9" w:rsidRPr="00F12DA2">
        <w:rPr>
          <w:rFonts w:cs="Arial"/>
          <w:lang w:eastAsia="en-US"/>
        </w:rPr>
        <w:t>Proposal 1</w:t>
      </w:r>
      <w:r w:rsidR="003908C9">
        <w:rPr>
          <w:rFonts w:asciiTheme="minorHAnsi" w:eastAsiaTheme="minorEastAsia" w:hAnsiTheme="minorHAnsi" w:cstheme="minorBidi"/>
          <w:b w:val="0"/>
          <w:sz w:val="22"/>
          <w:lang w:val="en-GB" w:eastAsia="en-GB"/>
        </w:rPr>
        <w:tab/>
      </w:r>
      <w:r w:rsidR="003908C9">
        <w:t>Consider making the new section 5.XX into a subsection of 5.4 and remove the new MAC CE triggering in 5.1.3a and 5.1.4.</w:t>
      </w:r>
    </w:p>
    <w:p w14:paraId="44EE1504" w14:textId="77777777" w:rsidR="003908C9" w:rsidRDefault="003908C9">
      <w:pPr>
        <w:pStyle w:val="TOC1"/>
        <w:rPr>
          <w:rFonts w:asciiTheme="minorHAnsi" w:eastAsiaTheme="minorEastAsia" w:hAnsiTheme="minorHAnsi" w:cstheme="minorBidi"/>
          <w:b w:val="0"/>
          <w:sz w:val="22"/>
          <w:lang w:val="en-GB" w:eastAsia="en-GB"/>
        </w:rPr>
      </w:pPr>
      <w:r w:rsidRPr="00F12DA2">
        <w:rPr>
          <w:rFonts w:cs="Arial"/>
          <w:lang w:eastAsia="en-US"/>
        </w:rPr>
        <w:t>Proposal 2</w:t>
      </w:r>
      <w:r>
        <w:rPr>
          <w:rFonts w:asciiTheme="minorHAnsi" w:eastAsiaTheme="minorEastAsia" w:hAnsiTheme="minorHAnsi" w:cstheme="minorBidi"/>
          <w:b w:val="0"/>
          <w:sz w:val="22"/>
          <w:lang w:val="en-GB" w:eastAsia="en-GB"/>
        </w:rPr>
        <w:tab/>
      </w:r>
      <w:r>
        <w:t>Consider the following text proposal for the section 5.4.XX:</w:t>
      </w:r>
    </w:p>
    <w:p w14:paraId="7CA905AE" w14:textId="77777777" w:rsidR="003908C9" w:rsidRDefault="003908C9">
      <w:pPr>
        <w:pStyle w:val="TOC1"/>
        <w:rPr>
          <w:rFonts w:asciiTheme="minorHAnsi" w:eastAsiaTheme="minorEastAsia" w:hAnsiTheme="minorHAnsi" w:cstheme="minorBidi"/>
          <w:b w:val="0"/>
          <w:sz w:val="22"/>
          <w:lang w:val="en-GB" w:eastAsia="en-GB"/>
        </w:rPr>
      </w:pPr>
      <w:r w:rsidRPr="00F12DA2">
        <w:rPr>
          <w:rFonts w:cs="Arial"/>
          <w:lang w:eastAsia="en-US"/>
        </w:rPr>
        <w:t>Proposal 3</w:t>
      </w:r>
      <w:r>
        <w:rPr>
          <w:rFonts w:asciiTheme="minorHAnsi" w:eastAsiaTheme="minorEastAsia" w:hAnsiTheme="minorHAnsi" w:cstheme="minorBidi"/>
          <w:b w:val="0"/>
          <w:sz w:val="22"/>
          <w:lang w:val="en-GB" w:eastAsia="en-GB"/>
        </w:rPr>
        <w:tab/>
      </w:r>
      <w:r>
        <w:t>The priority of the new MAC CE in the prioritization list in the MAC spec section 5.4.3.1.3 shall be lower than “</w:t>
      </w:r>
      <w:r>
        <w:rPr>
          <w:lang w:eastAsia="ko-KR"/>
        </w:rPr>
        <w:t>Configured Grant Confirmation MAC CE or BFR MAC CE or Multiple Entry Configured Grant Confirmation MAC CE</w:t>
      </w:r>
      <w:r>
        <w:t xml:space="preserve">” and higher than “Sidelink Configured </w:t>
      </w:r>
      <w:r>
        <w:rPr>
          <w:lang w:eastAsia="ko-KR"/>
        </w:rPr>
        <w:t>G</w:t>
      </w:r>
      <w:r>
        <w:t xml:space="preserve">rant </w:t>
      </w:r>
      <w:r>
        <w:rPr>
          <w:lang w:eastAsia="ko-KR"/>
        </w:rPr>
        <w:t>C</w:t>
      </w:r>
      <w:r>
        <w:t xml:space="preserve">onfirmation MAC </w:t>
      </w:r>
      <w:r>
        <w:rPr>
          <w:lang w:eastAsia="ko-KR"/>
        </w:rPr>
        <w:t>CE</w:t>
      </w:r>
      <w:r>
        <w:t>”.</w:t>
      </w:r>
    </w:p>
    <w:p w14:paraId="7B4BCC22" w14:textId="77777777" w:rsidR="003908C9" w:rsidRDefault="003908C9">
      <w:pPr>
        <w:pStyle w:val="TOC1"/>
        <w:rPr>
          <w:rFonts w:asciiTheme="minorHAnsi" w:eastAsiaTheme="minorEastAsia" w:hAnsiTheme="minorHAnsi" w:cstheme="minorBidi"/>
          <w:b w:val="0"/>
          <w:sz w:val="22"/>
          <w:lang w:val="en-GB" w:eastAsia="en-GB"/>
        </w:rPr>
      </w:pPr>
      <w:r>
        <w:t>Proposal 4</w:t>
      </w:r>
      <w:r>
        <w:rPr>
          <w:rFonts w:asciiTheme="minorHAnsi" w:eastAsiaTheme="minorEastAsia" w:hAnsiTheme="minorHAnsi" w:cstheme="minorBidi"/>
          <w:b w:val="0"/>
          <w:sz w:val="22"/>
          <w:lang w:val="en-GB" w:eastAsia="en-GB"/>
        </w:rPr>
        <w:tab/>
      </w:r>
      <w:r>
        <w:t>When information about the UE specific TA pre-compensation is reported in a MAC CE, the reporting quantity is the [cell-specific-Koffset – T</w:t>
      </w:r>
      <w:r w:rsidRPr="00F12DA2">
        <w:rPr>
          <w:vertAlign w:val="subscript"/>
        </w:rPr>
        <w:t>TA</w:t>
      </w:r>
      <w:r>
        <w:t>]/[slot length] rounded down to closest integer and where all quantities are expressed in the same unit of time, for example seconds.</w:t>
      </w:r>
    </w:p>
    <w:p w14:paraId="25E33228" w14:textId="77777777" w:rsidR="003908C9" w:rsidRDefault="003908C9">
      <w:pPr>
        <w:pStyle w:val="TOC1"/>
        <w:rPr>
          <w:rFonts w:asciiTheme="minorHAnsi" w:eastAsiaTheme="minorEastAsia" w:hAnsiTheme="minorHAnsi" w:cstheme="minorBidi"/>
          <w:b w:val="0"/>
          <w:sz w:val="22"/>
          <w:lang w:val="en-GB" w:eastAsia="en-GB"/>
        </w:rPr>
      </w:pPr>
      <w:r>
        <w:t>Observation 1</w:t>
      </w:r>
      <w:r>
        <w:rPr>
          <w:rFonts w:asciiTheme="minorHAnsi" w:eastAsiaTheme="minorEastAsia" w:hAnsiTheme="minorHAnsi" w:cstheme="minorBidi"/>
          <w:b w:val="0"/>
          <w:sz w:val="22"/>
          <w:lang w:val="en-GB" w:eastAsia="en-GB"/>
        </w:rPr>
        <w:tab/>
      </w:r>
      <w:r>
        <w:t>Using [cell-specific-Koffset – T</w:t>
      </w:r>
      <w:r w:rsidRPr="00F12DA2">
        <w:rPr>
          <w:vertAlign w:val="subscript"/>
        </w:rPr>
        <w:t>TA</w:t>
      </w:r>
      <w:r>
        <w:t>]/[slot length] give a limited range for the TA report without the need to configure a reporting range that depends on the constellation and without using a very large report.</w:t>
      </w:r>
    </w:p>
    <w:p w14:paraId="18080179" w14:textId="77777777" w:rsidR="003908C9" w:rsidRDefault="003908C9">
      <w:pPr>
        <w:pStyle w:val="TOC1"/>
        <w:rPr>
          <w:rFonts w:asciiTheme="minorHAnsi" w:eastAsiaTheme="minorEastAsia" w:hAnsiTheme="minorHAnsi" w:cstheme="minorBidi"/>
          <w:b w:val="0"/>
          <w:sz w:val="22"/>
          <w:lang w:val="en-GB" w:eastAsia="en-GB"/>
        </w:rPr>
      </w:pPr>
      <w:r>
        <w:t>Proposal 5</w:t>
      </w:r>
      <w:r>
        <w:rPr>
          <w:rFonts w:asciiTheme="minorHAnsi" w:eastAsiaTheme="minorEastAsia" w:hAnsiTheme="minorHAnsi" w:cstheme="minorBidi"/>
          <w:b w:val="0"/>
          <w:sz w:val="22"/>
          <w:lang w:val="en-GB" w:eastAsia="en-GB"/>
        </w:rPr>
        <w:tab/>
      </w:r>
      <w:r>
        <w:t>The new MAC CE format for TA reporting during random access uses one field of fixed 8 bits size.</w:t>
      </w:r>
    </w:p>
    <w:p w14:paraId="062D49BD" w14:textId="77777777" w:rsidR="003908C9" w:rsidRDefault="003908C9">
      <w:pPr>
        <w:pStyle w:val="TOC1"/>
        <w:rPr>
          <w:rFonts w:asciiTheme="minorHAnsi" w:eastAsiaTheme="minorEastAsia" w:hAnsiTheme="minorHAnsi" w:cstheme="minorBidi"/>
          <w:b w:val="0"/>
          <w:sz w:val="22"/>
          <w:lang w:val="en-GB" w:eastAsia="en-GB"/>
        </w:rPr>
      </w:pPr>
      <w:r>
        <w:t>Proposal 6</w:t>
      </w:r>
      <w:r>
        <w:rPr>
          <w:rFonts w:asciiTheme="minorHAnsi" w:eastAsiaTheme="minorEastAsia" w:hAnsiTheme="minorHAnsi" w:cstheme="minorBidi"/>
          <w:b w:val="0"/>
          <w:sz w:val="22"/>
          <w:lang w:val="en-GB" w:eastAsia="en-GB"/>
        </w:rPr>
        <w:tab/>
      </w:r>
      <w:r>
        <w:t>The quantity used by the UE to trigger TA reports is Qta = [Koffset – T</w:t>
      </w:r>
      <w:r w:rsidRPr="00F12DA2">
        <w:rPr>
          <w:vertAlign w:val="subscript"/>
        </w:rPr>
        <w:t>TA</w:t>
      </w:r>
      <w:r>
        <w:t>] expressed in seconds, where Koffset is the cell-specific-TA (or UE-specific-TA if configured) and T</w:t>
      </w:r>
      <w:r w:rsidRPr="00F12DA2">
        <w:rPr>
          <w:vertAlign w:val="subscript"/>
        </w:rPr>
        <w:t>TA</w:t>
      </w:r>
      <w:r>
        <w:t xml:space="preserve"> is the full TA.</w:t>
      </w:r>
    </w:p>
    <w:p w14:paraId="127295C7" w14:textId="77777777" w:rsidR="003908C9" w:rsidRDefault="003908C9">
      <w:pPr>
        <w:pStyle w:val="TOC1"/>
        <w:rPr>
          <w:rFonts w:asciiTheme="minorHAnsi" w:eastAsiaTheme="minorEastAsia" w:hAnsiTheme="minorHAnsi" w:cstheme="minorBidi"/>
          <w:b w:val="0"/>
          <w:sz w:val="22"/>
          <w:lang w:val="en-GB" w:eastAsia="en-GB"/>
        </w:rPr>
      </w:pPr>
      <w:r>
        <w:t>Proposal 7</w:t>
      </w:r>
      <w:r>
        <w:rPr>
          <w:rFonts w:asciiTheme="minorHAnsi" w:eastAsiaTheme="minorEastAsia" w:hAnsiTheme="minorHAnsi" w:cstheme="minorBidi"/>
          <w:b w:val="0"/>
          <w:sz w:val="22"/>
          <w:lang w:val="en-GB" w:eastAsia="en-GB"/>
        </w:rPr>
        <w:tab/>
      </w:r>
      <w:r>
        <w:t>The UE may be configured with two thresholds to trigger TA reports based on Qta. ThDown triggers a TA report if Qta &lt; ThDown. ThUp triggers a TA report if Qta &gt; ThUp.</w:t>
      </w:r>
    </w:p>
    <w:p w14:paraId="50E8BD06" w14:textId="77777777" w:rsidR="003908C9" w:rsidRDefault="003908C9">
      <w:pPr>
        <w:pStyle w:val="TOC1"/>
        <w:rPr>
          <w:rFonts w:asciiTheme="minorHAnsi" w:eastAsiaTheme="minorEastAsia" w:hAnsiTheme="minorHAnsi" w:cstheme="minorBidi"/>
          <w:b w:val="0"/>
          <w:sz w:val="22"/>
          <w:lang w:val="en-GB" w:eastAsia="en-GB"/>
        </w:rPr>
      </w:pPr>
      <w:r>
        <w:t>Observation 2</w:t>
      </w:r>
      <w:r>
        <w:rPr>
          <w:rFonts w:asciiTheme="minorHAnsi" w:eastAsiaTheme="minorEastAsia" w:hAnsiTheme="minorHAnsi" w:cstheme="minorBidi"/>
          <w:b w:val="0"/>
          <w:sz w:val="22"/>
          <w:lang w:val="en-GB" w:eastAsia="en-GB"/>
        </w:rPr>
        <w:tab/>
      </w:r>
      <w:r>
        <w:t>The advantages of using Qta = [UE-specific-Koffset – T</w:t>
      </w:r>
      <w:r w:rsidRPr="00F12DA2">
        <w:rPr>
          <w:vertAlign w:val="subscript"/>
        </w:rPr>
        <w:t>TA</w:t>
      </w:r>
      <w:r>
        <w:t>] and two thresholds Qta &lt; ThDown and Qta &gt; ThUp to trigger TA reports is: 1) no report will be triggered unless there is a need to update the UE-specific-Koffset 2) no need for the UE to determine/guess and store a “last successfully reported TA” 3) no need to update the “last successfully reported TA” when an updated Koffset is received (useful in scenarios when gNB can predict the T</w:t>
      </w:r>
      <w:r w:rsidRPr="00F12DA2">
        <w:rPr>
          <w:vertAlign w:val="subscript"/>
        </w:rPr>
        <w:t>TA</w:t>
      </w:r>
      <w:r>
        <w:t xml:space="preserve"> of the UE, for example when UE location is known, or in Earth Fixed cells when satellite has moved a certain distance).</w:t>
      </w:r>
    </w:p>
    <w:p w14:paraId="0BA85ED5" w14:textId="77777777" w:rsidR="003908C9" w:rsidRDefault="003908C9">
      <w:pPr>
        <w:pStyle w:val="TOC1"/>
        <w:rPr>
          <w:rFonts w:asciiTheme="minorHAnsi" w:eastAsiaTheme="minorEastAsia" w:hAnsiTheme="minorHAnsi" w:cstheme="minorBidi"/>
          <w:b w:val="0"/>
          <w:sz w:val="22"/>
          <w:lang w:val="en-GB" w:eastAsia="en-GB"/>
        </w:rPr>
      </w:pPr>
      <w:r w:rsidRPr="00F12DA2">
        <w:rPr>
          <w:rFonts w:cs="Arial"/>
          <w:lang w:eastAsia="en-US"/>
        </w:rPr>
        <w:t>Proposal 8</w:t>
      </w:r>
      <w:r>
        <w:rPr>
          <w:rFonts w:asciiTheme="minorHAnsi" w:eastAsiaTheme="minorEastAsia" w:hAnsiTheme="minorHAnsi" w:cstheme="minorBidi"/>
          <w:b w:val="0"/>
          <w:sz w:val="22"/>
          <w:lang w:val="en-GB" w:eastAsia="en-GB"/>
        </w:rPr>
        <w:tab/>
      </w:r>
      <w:r>
        <w:t>RAN2 to discuss the case a TBS can fit all data if a new TA report MAC CE is not included, whether the UE shall then not send the new TA report MAC CE.</w:t>
      </w:r>
    </w:p>
    <w:p w14:paraId="554AC813" w14:textId="77777777" w:rsidR="003908C9" w:rsidRDefault="003908C9">
      <w:pPr>
        <w:pStyle w:val="TOC1"/>
        <w:rPr>
          <w:rFonts w:asciiTheme="minorHAnsi" w:eastAsiaTheme="minorEastAsia" w:hAnsiTheme="minorHAnsi" w:cstheme="minorBidi"/>
          <w:b w:val="0"/>
          <w:sz w:val="22"/>
          <w:lang w:val="en-GB" w:eastAsia="en-GB"/>
        </w:rPr>
      </w:pPr>
      <w:r w:rsidRPr="00F12DA2">
        <w:rPr>
          <w:rFonts w:cs="Arial"/>
          <w:lang w:eastAsia="en-US"/>
        </w:rPr>
        <w:t>Proposal 9</w:t>
      </w:r>
      <w:r>
        <w:rPr>
          <w:rFonts w:asciiTheme="minorHAnsi" w:eastAsiaTheme="minorEastAsia" w:hAnsiTheme="minorHAnsi" w:cstheme="minorBidi"/>
          <w:b w:val="0"/>
          <w:sz w:val="22"/>
          <w:lang w:val="en-GB" w:eastAsia="en-GB"/>
        </w:rPr>
        <w:tab/>
      </w:r>
      <w:r>
        <w:t>The gNB can request the UE to report TA in connected mode.</w:t>
      </w:r>
    </w:p>
    <w:p w14:paraId="30EA71AC" w14:textId="77777777" w:rsidR="003908C9" w:rsidRDefault="003908C9">
      <w:pPr>
        <w:pStyle w:val="TOC1"/>
        <w:rPr>
          <w:rFonts w:asciiTheme="minorHAnsi" w:eastAsiaTheme="minorEastAsia" w:hAnsiTheme="minorHAnsi" w:cstheme="minorBidi"/>
          <w:b w:val="0"/>
          <w:sz w:val="22"/>
          <w:lang w:val="en-GB" w:eastAsia="en-GB"/>
        </w:rPr>
      </w:pPr>
      <w:r>
        <w:t>Observation 3</w:t>
      </w:r>
      <w:r>
        <w:rPr>
          <w:rFonts w:asciiTheme="minorHAnsi" w:eastAsiaTheme="minorEastAsia" w:hAnsiTheme="minorHAnsi" w:cstheme="minorBidi"/>
          <w:b w:val="0"/>
          <w:sz w:val="22"/>
          <w:lang w:val="en-GB" w:eastAsia="en-GB"/>
        </w:rPr>
        <w:tab/>
      </w:r>
      <w:r>
        <w:t>When TA reports use slot granularity, observers can still accurately estimate the UE position from multiple reports towards multiple satellites. Thus, using MAC CE to report TA value has privacy issues.</w:t>
      </w:r>
    </w:p>
    <w:p w14:paraId="2D17951F" w14:textId="77777777" w:rsidR="003908C9" w:rsidRDefault="003908C9">
      <w:pPr>
        <w:pStyle w:val="TOC1"/>
        <w:rPr>
          <w:rFonts w:asciiTheme="minorHAnsi" w:eastAsiaTheme="minorEastAsia" w:hAnsiTheme="minorHAnsi" w:cstheme="minorBidi"/>
          <w:b w:val="0"/>
          <w:sz w:val="22"/>
          <w:lang w:val="en-GB" w:eastAsia="en-GB"/>
        </w:rPr>
      </w:pPr>
      <w:r>
        <w:t>Observation 4</w:t>
      </w:r>
      <w:r>
        <w:rPr>
          <w:rFonts w:asciiTheme="minorHAnsi" w:eastAsiaTheme="minorEastAsia" w:hAnsiTheme="minorHAnsi" w:cstheme="minorBidi"/>
          <w:b w:val="0"/>
          <w:sz w:val="22"/>
          <w:lang w:val="en-GB" w:eastAsia="en-GB"/>
        </w:rPr>
        <w:tab/>
      </w:r>
      <w:r>
        <w:t>The event triggered reporting of TA can be integrated in the existing Event based measurement framework that uses RRC signalling.</w:t>
      </w:r>
    </w:p>
    <w:p w14:paraId="7CC0A498" w14:textId="77777777" w:rsidR="003908C9" w:rsidRDefault="003908C9">
      <w:pPr>
        <w:pStyle w:val="TOC1"/>
        <w:rPr>
          <w:rFonts w:asciiTheme="minorHAnsi" w:eastAsiaTheme="minorEastAsia" w:hAnsiTheme="minorHAnsi" w:cstheme="minorBidi"/>
          <w:b w:val="0"/>
          <w:sz w:val="22"/>
          <w:lang w:val="en-GB" w:eastAsia="en-GB"/>
        </w:rPr>
      </w:pPr>
      <w:r>
        <w:t>Observation 5</w:t>
      </w:r>
      <w:r>
        <w:rPr>
          <w:rFonts w:asciiTheme="minorHAnsi" w:eastAsiaTheme="minorEastAsia" w:hAnsiTheme="minorHAnsi" w:cstheme="minorBidi"/>
          <w:b w:val="0"/>
          <w:sz w:val="22"/>
          <w:lang w:val="en-GB" w:eastAsia="en-GB"/>
        </w:rPr>
        <w:tab/>
      </w:r>
      <w:r>
        <w:t>If the UE reports the TA value, the gNB can accurately estimate the UE position. Thus, there is no point in not reporting the UE position from a privacy perspective.</w:t>
      </w:r>
    </w:p>
    <w:p w14:paraId="05774F5D" w14:textId="77777777" w:rsidR="003908C9" w:rsidRDefault="003908C9">
      <w:pPr>
        <w:pStyle w:val="TOC1"/>
        <w:rPr>
          <w:rFonts w:asciiTheme="minorHAnsi" w:eastAsiaTheme="minorEastAsia" w:hAnsiTheme="minorHAnsi" w:cstheme="minorBidi"/>
          <w:b w:val="0"/>
          <w:sz w:val="22"/>
          <w:lang w:val="en-GB" w:eastAsia="en-GB"/>
        </w:rPr>
      </w:pPr>
      <w:r>
        <w:t>Observation 6</w:t>
      </w:r>
      <w:r>
        <w:rPr>
          <w:rFonts w:asciiTheme="minorHAnsi" w:eastAsiaTheme="minorEastAsia" w:hAnsiTheme="minorHAnsi" w:cstheme="minorBidi"/>
          <w:b w:val="0"/>
          <w:sz w:val="22"/>
          <w:lang w:val="en-GB" w:eastAsia="en-GB"/>
        </w:rPr>
        <w:tab/>
      </w:r>
      <w:r>
        <w:t>With the UE position and the satellite ephemeris, the gNB can predict TA variations with less signalling than when the UE report TA or the UE report TA+TA drift.</w:t>
      </w:r>
    </w:p>
    <w:p w14:paraId="4D2C44E1" w14:textId="77777777" w:rsidR="003908C9" w:rsidRDefault="003908C9">
      <w:pPr>
        <w:pStyle w:val="TOC1"/>
        <w:rPr>
          <w:rFonts w:asciiTheme="minorHAnsi" w:eastAsiaTheme="minorEastAsia" w:hAnsiTheme="minorHAnsi" w:cstheme="minorBidi"/>
          <w:b w:val="0"/>
          <w:sz w:val="22"/>
          <w:lang w:val="en-GB" w:eastAsia="en-GB"/>
        </w:rPr>
      </w:pPr>
      <w:r>
        <w:t>Observation 7</w:t>
      </w:r>
      <w:r>
        <w:rPr>
          <w:rFonts w:asciiTheme="minorHAnsi" w:eastAsiaTheme="minorEastAsia" w:hAnsiTheme="minorHAnsi" w:cstheme="minorBidi"/>
          <w:b w:val="0"/>
          <w:sz w:val="22"/>
          <w:lang w:val="en-GB" w:eastAsia="en-GB"/>
        </w:rPr>
        <w:tab/>
      </w:r>
      <w:r>
        <w:t>The UE position is useful to receive in the gNB to improve Tracking Area selection and to improve the Radio Resource Management.</w:t>
      </w:r>
    </w:p>
    <w:p w14:paraId="365B3804" w14:textId="77777777" w:rsidR="003908C9" w:rsidRDefault="003908C9">
      <w:pPr>
        <w:pStyle w:val="TOC1"/>
        <w:rPr>
          <w:rFonts w:asciiTheme="minorHAnsi" w:eastAsiaTheme="minorEastAsia" w:hAnsiTheme="minorHAnsi" w:cstheme="minorBidi"/>
          <w:b w:val="0"/>
          <w:sz w:val="22"/>
          <w:lang w:val="en-GB" w:eastAsia="en-GB"/>
        </w:rPr>
      </w:pPr>
      <w:r>
        <w:t>Proposal 10</w:t>
      </w:r>
      <w:r>
        <w:rPr>
          <w:rFonts w:asciiTheme="minorHAnsi" w:eastAsiaTheme="minorEastAsia" w:hAnsiTheme="minorHAnsi" w:cstheme="minorBidi"/>
          <w:b w:val="0"/>
          <w:sz w:val="22"/>
          <w:lang w:val="en-GB" w:eastAsia="en-GB"/>
        </w:rPr>
        <w:tab/>
      </w:r>
      <w:r>
        <w:t xml:space="preserve">If </w:t>
      </w:r>
      <w:r>
        <w:rPr>
          <w:lang w:eastAsia="en-GB"/>
        </w:rPr>
        <w:t xml:space="preserve">the </w:t>
      </w:r>
      <w:r>
        <w:t xml:space="preserve">information about UE specific TA pre-compensation in connected mode </w:t>
      </w:r>
      <w:r>
        <w:rPr>
          <w:lang w:eastAsia="en-GB"/>
        </w:rPr>
        <w:t>is the UE position</w:t>
      </w:r>
      <w:r>
        <w:t>, then the event triggered report of information about the UE specific TA pre-compensation can be the same as in Proposal 6 and Proposal 7 but the reported quantity can be the UE location.</w:t>
      </w:r>
    </w:p>
    <w:p w14:paraId="6480C7D8" w14:textId="77777777" w:rsidR="003908C9" w:rsidRDefault="003908C9">
      <w:pPr>
        <w:pStyle w:val="TOC1"/>
        <w:rPr>
          <w:rFonts w:asciiTheme="minorHAnsi" w:eastAsiaTheme="minorEastAsia" w:hAnsiTheme="minorHAnsi" w:cstheme="minorBidi"/>
          <w:b w:val="0"/>
          <w:sz w:val="22"/>
          <w:lang w:val="en-GB" w:eastAsia="en-GB"/>
        </w:rPr>
      </w:pPr>
      <w:r>
        <w:t>Proposal 11</w:t>
      </w:r>
      <w:r>
        <w:rPr>
          <w:rFonts w:asciiTheme="minorHAnsi" w:eastAsiaTheme="minorEastAsia" w:hAnsiTheme="minorHAnsi" w:cstheme="minorBidi"/>
          <w:b w:val="0"/>
          <w:sz w:val="22"/>
          <w:lang w:val="en-GB" w:eastAsia="en-GB"/>
        </w:rPr>
        <w:tab/>
      </w:r>
      <w:r>
        <w:t>RAN2 to discuss the UE specific Koffset MAC CE name and whether it uses an LCID or eLCID.</w:t>
      </w:r>
    </w:p>
    <w:p w14:paraId="3B7F93DE" w14:textId="77777777" w:rsidR="003908C9" w:rsidRDefault="003908C9">
      <w:pPr>
        <w:pStyle w:val="TOC1"/>
        <w:rPr>
          <w:rFonts w:asciiTheme="minorHAnsi" w:eastAsiaTheme="minorEastAsia" w:hAnsiTheme="minorHAnsi" w:cstheme="minorBidi"/>
          <w:b w:val="0"/>
          <w:sz w:val="22"/>
          <w:lang w:val="en-GB" w:eastAsia="en-GB"/>
        </w:rPr>
      </w:pPr>
      <w:r>
        <w:t>Observation 8</w:t>
      </w:r>
      <w:r>
        <w:rPr>
          <w:rFonts w:asciiTheme="minorHAnsi" w:eastAsiaTheme="minorEastAsia" w:hAnsiTheme="minorHAnsi" w:cstheme="minorBidi"/>
          <w:b w:val="0"/>
          <w:sz w:val="22"/>
          <w:lang w:val="en-GB" w:eastAsia="en-GB"/>
        </w:rPr>
        <w:tab/>
      </w:r>
      <w:r>
        <w:t>If the UL synchronisation timer expires, the UE must stop all uplink transmissions.</w:t>
      </w:r>
    </w:p>
    <w:p w14:paraId="285882CB" w14:textId="77777777" w:rsidR="003908C9" w:rsidRDefault="003908C9">
      <w:pPr>
        <w:pStyle w:val="TOC1"/>
        <w:rPr>
          <w:rFonts w:asciiTheme="minorHAnsi" w:eastAsiaTheme="minorEastAsia" w:hAnsiTheme="minorHAnsi" w:cstheme="minorBidi"/>
          <w:b w:val="0"/>
          <w:sz w:val="22"/>
          <w:lang w:val="en-GB" w:eastAsia="en-GB"/>
        </w:rPr>
      </w:pPr>
      <w:r>
        <w:t>Observation 9</w:t>
      </w:r>
      <w:r>
        <w:rPr>
          <w:rFonts w:asciiTheme="minorHAnsi" w:eastAsiaTheme="minorEastAsia" w:hAnsiTheme="minorHAnsi" w:cstheme="minorBidi"/>
          <w:b w:val="0"/>
          <w:sz w:val="22"/>
          <w:lang w:val="en-GB" w:eastAsia="en-GB"/>
        </w:rPr>
        <w:tab/>
      </w:r>
      <w:r>
        <w:t>If the UE fails to acquire an accurate UE location to be used in the calculation of the full TA, the UE must stop all uplink transmissions. The detection and frequency of UE updates of UE location is left to UE implementation.</w:t>
      </w:r>
    </w:p>
    <w:p w14:paraId="669E62BC" w14:textId="77777777" w:rsidR="003908C9" w:rsidRDefault="003908C9">
      <w:pPr>
        <w:pStyle w:val="TOC1"/>
        <w:rPr>
          <w:rFonts w:asciiTheme="minorHAnsi" w:eastAsiaTheme="minorEastAsia" w:hAnsiTheme="minorHAnsi" w:cstheme="minorBidi"/>
          <w:b w:val="0"/>
          <w:sz w:val="22"/>
          <w:lang w:val="en-GB" w:eastAsia="en-GB"/>
        </w:rPr>
      </w:pPr>
      <w:r>
        <w:t>Proposal 12</w:t>
      </w:r>
      <w:r>
        <w:rPr>
          <w:rFonts w:asciiTheme="minorHAnsi" w:eastAsiaTheme="minorEastAsia" w:hAnsiTheme="minorHAnsi" w:cstheme="minorBidi"/>
          <w:b w:val="0"/>
          <w:sz w:val="22"/>
          <w:lang w:val="en-GB" w:eastAsia="en-GB"/>
        </w:rPr>
        <w:tab/>
      </w:r>
      <w:r>
        <w:t>If the UL synchronization timer expires, the UE stop all uplink transmissions and triggers RLF.</w:t>
      </w:r>
    </w:p>
    <w:p w14:paraId="653EC0F4" w14:textId="77777777" w:rsidR="003908C9" w:rsidRDefault="003908C9">
      <w:pPr>
        <w:pStyle w:val="TOC1"/>
        <w:rPr>
          <w:rFonts w:asciiTheme="minorHAnsi" w:eastAsiaTheme="minorEastAsia" w:hAnsiTheme="minorHAnsi" w:cstheme="minorBidi"/>
          <w:b w:val="0"/>
          <w:sz w:val="22"/>
          <w:lang w:val="en-GB" w:eastAsia="en-GB"/>
        </w:rPr>
      </w:pPr>
      <w:r>
        <w:t>Proposal 13</w:t>
      </w:r>
      <w:r>
        <w:rPr>
          <w:rFonts w:asciiTheme="minorHAnsi" w:eastAsiaTheme="minorEastAsia" w:hAnsiTheme="minorHAnsi" w:cstheme="minorBidi"/>
          <w:b w:val="0"/>
          <w:sz w:val="22"/>
          <w:lang w:val="en-GB" w:eastAsia="en-GB"/>
        </w:rPr>
        <w:tab/>
      </w:r>
      <w:r>
        <w:t>If the UE fails to acquire an accurate UE location to be used in the calculation of the full TA, the UE stop all uplink transmissions and trigger RLF.</w:t>
      </w:r>
    </w:p>
    <w:p w14:paraId="337D37BE" w14:textId="77777777" w:rsidR="003908C9" w:rsidRDefault="003908C9">
      <w:pPr>
        <w:pStyle w:val="TOC1"/>
        <w:rPr>
          <w:rFonts w:asciiTheme="minorHAnsi" w:eastAsiaTheme="minorEastAsia" w:hAnsiTheme="minorHAnsi" w:cstheme="minorBidi"/>
          <w:b w:val="0"/>
          <w:sz w:val="22"/>
          <w:lang w:val="en-GB" w:eastAsia="en-GB"/>
        </w:rPr>
      </w:pPr>
      <w:r>
        <w:t>Proposal 14</w:t>
      </w:r>
      <w:r>
        <w:rPr>
          <w:rFonts w:asciiTheme="minorHAnsi" w:eastAsiaTheme="minorEastAsia" w:hAnsiTheme="minorHAnsi" w:cstheme="minorBidi"/>
          <w:b w:val="0"/>
          <w:sz w:val="22"/>
          <w:lang w:val="en-GB" w:eastAsia="en-GB"/>
        </w:rPr>
        <w:tab/>
      </w:r>
      <w:r>
        <w:t>RAN2 to discuss if there is a need to specify how or when timers that use the UE-gNB RTT shall be updated.</w:t>
      </w:r>
    </w:p>
    <w:p w14:paraId="4575D11C" w14:textId="65D04B76" w:rsidR="006255FE" w:rsidRPr="00C53B14" w:rsidRDefault="006255FE" w:rsidP="006255FE">
      <w:pPr>
        <w:rPr>
          <w:b/>
          <w:bCs/>
        </w:rPr>
      </w:pPr>
      <w:r w:rsidRPr="00C53B14">
        <w:rPr>
          <w:rFonts w:eastAsia="Times New Roman" w:cs="Times New Roman"/>
          <w:bCs/>
          <w:lang w:eastAsia="zh-CN"/>
        </w:rPr>
        <w:fldChar w:fldCharType="end"/>
      </w:r>
    </w:p>
    <w:bookmarkEnd w:id="859"/>
    <w:p w14:paraId="6701EDD5" w14:textId="300129CC" w:rsidR="004C09E6" w:rsidRPr="00C53B14" w:rsidRDefault="0057179C" w:rsidP="006645A6">
      <w:pPr>
        <w:pStyle w:val="BodyText"/>
      </w:pPr>
      <w:r w:rsidRPr="00C53B14">
        <w:t>Here is a</w:t>
      </w:r>
      <w:r w:rsidR="00556864" w:rsidRPr="00C53B14">
        <w:t xml:space="preserve"> separate</w:t>
      </w:r>
      <w:r w:rsidRPr="00C53B14">
        <w:t xml:space="preserve"> list of the proposals</w:t>
      </w:r>
      <w:r w:rsidR="00556864" w:rsidRPr="00C53B14">
        <w:t xml:space="preserve">: </w:t>
      </w:r>
    </w:p>
    <w:p w14:paraId="7A8AF7ED" w14:textId="77777777" w:rsidR="003908C9" w:rsidRDefault="0057179C">
      <w:pPr>
        <w:pStyle w:val="TOC1"/>
        <w:rPr>
          <w:rFonts w:asciiTheme="minorHAnsi" w:eastAsiaTheme="minorEastAsia" w:hAnsiTheme="minorHAnsi" w:cstheme="minorBidi"/>
          <w:b w:val="0"/>
          <w:sz w:val="22"/>
          <w:lang w:val="en-GB" w:eastAsia="en-GB"/>
        </w:rPr>
      </w:pPr>
      <w:r w:rsidRPr="00C53B14">
        <w:rPr>
          <w:noProof w:val="0"/>
          <w:lang w:val="en-GB"/>
        </w:rPr>
        <w:fldChar w:fldCharType="begin"/>
      </w:r>
      <w:r w:rsidRPr="00C53B14">
        <w:rPr>
          <w:noProof w:val="0"/>
          <w:lang w:val="en-GB"/>
        </w:rPr>
        <w:instrText xml:space="preserve"> TOC \n \t "Proposal;1" </w:instrText>
      </w:r>
      <w:r w:rsidRPr="00C53B14">
        <w:rPr>
          <w:noProof w:val="0"/>
          <w:lang w:val="en-GB"/>
        </w:rPr>
        <w:fldChar w:fldCharType="separate"/>
      </w:r>
      <w:r w:rsidR="003908C9" w:rsidRPr="0017621B">
        <w:rPr>
          <w:rFonts w:cs="Arial"/>
          <w:lang w:eastAsia="en-US"/>
        </w:rPr>
        <w:t>Proposal 1</w:t>
      </w:r>
      <w:r w:rsidR="003908C9">
        <w:rPr>
          <w:rFonts w:asciiTheme="minorHAnsi" w:eastAsiaTheme="minorEastAsia" w:hAnsiTheme="minorHAnsi" w:cstheme="minorBidi"/>
          <w:b w:val="0"/>
          <w:sz w:val="22"/>
          <w:lang w:val="en-GB" w:eastAsia="en-GB"/>
        </w:rPr>
        <w:tab/>
      </w:r>
      <w:r w:rsidR="003908C9">
        <w:t>Consider making the new section 5.XX into a subsection of 5.4 and remove the new MAC CE triggering in 5.1.3a and 5.1.4.</w:t>
      </w:r>
    </w:p>
    <w:p w14:paraId="40564359" w14:textId="77777777" w:rsidR="003908C9" w:rsidRDefault="003908C9">
      <w:pPr>
        <w:pStyle w:val="TOC1"/>
        <w:rPr>
          <w:rFonts w:asciiTheme="minorHAnsi" w:eastAsiaTheme="minorEastAsia" w:hAnsiTheme="minorHAnsi" w:cstheme="minorBidi"/>
          <w:b w:val="0"/>
          <w:sz w:val="22"/>
          <w:lang w:val="en-GB" w:eastAsia="en-GB"/>
        </w:rPr>
      </w:pPr>
      <w:r w:rsidRPr="0017621B">
        <w:rPr>
          <w:rFonts w:cs="Arial"/>
          <w:lang w:eastAsia="en-US"/>
        </w:rPr>
        <w:t>Proposal 2</w:t>
      </w:r>
      <w:r>
        <w:rPr>
          <w:rFonts w:asciiTheme="minorHAnsi" w:eastAsiaTheme="minorEastAsia" w:hAnsiTheme="minorHAnsi" w:cstheme="minorBidi"/>
          <w:b w:val="0"/>
          <w:sz w:val="22"/>
          <w:lang w:val="en-GB" w:eastAsia="en-GB"/>
        </w:rPr>
        <w:tab/>
      </w:r>
      <w:r>
        <w:t>Consider the following text proposal for the section 5.4.XX:</w:t>
      </w:r>
    </w:p>
    <w:p w14:paraId="486277BC" w14:textId="77777777" w:rsidR="003908C9" w:rsidRDefault="003908C9">
      <w:pPr>
        <w:pStyle w:val="TOC1"/>
        <w:rPr>
          <w:rFonts w:asciiTheme="minorHAnsi" w:eastAsiaTheme="minorEastAsia" w:hAnsiTheme="minorHAnsi" w:cstheme="minorBidi"/>
          <w:b w:val="0"/>
          <w:sz w:val="22"/>
          <w:lang w:val="en-GB" w:eastAsia="en-GB"/>
        </w:rPr>
      </w:pPr>
      <w:r w:rsidRPr="0017621B">
        <w:rPr>
          <w:rFonts w:cs="Arial"/>
          <w:lang w:eastAsia="en-US"/>
        </w:rPr>
        <w:t>Proposal 3</w:t>
      </w:r>
      <w:r>
        <w:rPr>
          <w:rFonts w:asciiTheme="minorHAnsi" w:eastAsiaTheme="minorEastAsia" w:hAnsiTheme="minorHAnsi" w:cstheme="minorBidi"/>
          <w:b w:val="0"/>
          <w:sz w:val="22"/>
          <w:lang w:val="en-GB" w:eastAsia="en-GB"/>
        </w:rPr>
        <w:tab/>
      </w:r>
      <w:r>
        <w:t>The priority of the new MAC CE in the prioritization list in the MAC spec section 5.4.3.1.3 shall be lower than “</w:t>
      </w:r>
      <w:r>
        <w:rPr>
          <w:lang w:eastAsia="ko-KR"/>
        </w:rPr>
        <w:t>Configured Grant Confirmation MAC CE or BFR MAC CE or Multiple Entry Configured Grant Confirmation MAC CE</w:t>
      </w:r>
      <w:r>
        <w:t xml:space="preserve">” and higher than “Sidelink Configured </w:t>
      </w:r>
      <w:r>
        <w:rPr>
          <w:lang w:eastAsia="ko-KR"/>
        </w:rPr>
        <w:t>G</w:t>
      </w:r>
      <w:r>
        <w:t xml:space="preserve">rant </w:t>
      </w:r>
      <w:r>
        <w:rPr>
          <w:lang w:eastAsia="ko-KR"/>
        </w:rPr>
        <w:t>C</w:t>
      </w:r>
      <w:r>
        <w:t xml:space="preserve">onfirmation MAC </w:t>
      </w:r>
      <w:r>
        <w:rPr>
          <w:lang w:eastAsia="ko-KR"/>
        </w:rPr>
        <w:t>CE</w:t>
      </w:r>
      <w:r>
        <w:t>”.</w:t>
      </w:r>
    </w:p>
    <w:p w14:paraId="04984F4D" w14:textId="77777777" w:rsidR="003908C9" w:rsidRDefault="003908C9">
      <w:pPr>
        <w:pStyle w:val="TOC1"/>
        <w:rPr>
          <w:rFonts w:asciiTheme="minorHAnsi" w:eastAsiaTheme="minorEastAsia" w:hAnsiTheme="minorHAnsi" w:cstheme="minorBidi"/>
          <w:b w:val="0"/>
          <w:sz w:val="22"/>
          <w:lang w:val="en-GB" w:eastAsia="en-GB"/>
        </w:rPr>
      </w:pPr>
      <w:r>
        <w:t>Proposal 4</w:t>
      </w:r>
      <w:r>
        <w:rPr>
          <w:rFonts w:asciiTheme="minorHAnsi" w:eastAsiaTheme="minorEastAsia" w:hAnsiTheme="minorHAnsi" w:cstheme="minorBidi"/>
          <w:b w:val="0"/>
          <w:sz w:val="22"/>
          <w:lang w:val="en-GB" w:eastAsia="en-GB"/>
        </w:rPr>
        <w:tab/>
      </w:r>
      <w:r>
        <w:t>When information about the UE specific TA pre-compensation is reported in a MAC CE, the reporting quantity is the [cell-specific-Koffset – T</w:t>
      </w:r>
      <w:r w:rsidRPr="0017621B">
        <w:rPr>
          <w:vertAlign w:val="subscript"/>
        </w:rPr>
        <w:t>TA</w:t>
      </w:r>
      <w:r>
        <w:t>]/[slot length] rounded down to closest integer and where all quantities are expressed in the same unit of time, for example seconds.</w:t>
      </w:r>
    </w:p>
    <w:p w14:paraId="6226F4F1" w14:textId="77777777" w:rsidR="003908C9" w:rsidRDefault="003908C9">
      <w:pPr>
        <w:pStyle w:val="TOC1"/>
        <w:rPr>
          <w:rFonts w:asciiTheme="minorHAnsi" w:eastAsiaTheme="minorEastAsia" w:hAnsiTheme="minorHAnsi" w:cstheme="minorBidi"/>
          <w:b w:val="0"/>
          <w:sz w:val="22"/>
          <w:lang w:val="en-GB" w:eastAsia="en-GB"/>
        </w:rPr>
      </w:pPr>
      <w:r>
        <w:t>Proposal 5</w:t>
      </w:r>
      <w:r>
        <w:rPr>
          <w:rFonts w:asciiTheme="minorHAnsi" w:eastAsiaTheme="minorEastAsia" w:hAnsiTheme="minorHAnsi" w:cstheme="minorBidi"/>
          <w:b w:val="0"/>
          <w:sz w:val="22"/>
          <w:lang w:val="en-GB" w:eastAsia="en-GB"/>
        </w:rPr>
        <w:tab/>
      </w:r>
      <w:r>
        <w:t>The new MAC CE format for TA reporting during random access uses one field of fixed 8 bits size.</w:t>
      </w:r>
    </w:p>
    <w:p w14:paraId="0B8FB5B1" w14:textId="77777777" w:rsidR="003908C9" w:rsidRDefault="003908C9">
      <w:pPr>
        <w:pStyle w:val="TOC1"/>
        <w:rPr>
          <w:rFonts w:asciiTheme="minorHAnsi" w:eastAsiaTheme="minorEastAsia" w:hAnsiTheme="minorHAnsi" w:cstheme="minorBidi"/>
          <w:b w:val="0"/>
          <w:sz w:val="22"/>
          <w:lang w:val="en-GB" w:eastAsia="en-GB"/>
        </w:rPr>
      </w:pPr>
      <w:r>
        <w:t>Proposal 6</w:t>
      </w:r>
      <w:r>
        <w:rPr>
          <w:rFonts w:asciiTheme="minorHAnsi" w:eastAsiaTheme="minorEastAsia" w:hAnsiTheme="minorHAnsi" w:cstheme="minorBidi"/>
          <w:b w:val="0"/>
          <w:sz w:val="22"/>
          <w:lang w:val="en-GB" w:eastAsia="en-GB"/>
        </w:rPr>
        <w:tab/>
      </w:r>
      <w:r>
        <w:t>The quantity used by the UE to trigger TA reports is Qta = [Koffset – T</w:t>
      </w:r>
      <w:r w:rsidRPr="0017621B">
        <w:rPr>
          <w:vertAlign w:val="subscript"/>
        </w:rPr>
        <w:t>TA</w:t>
      </w:r>
      <w:r>
        <w:t>] expressed in seconds, where Koffset is the cell-specific-TA (or UE-specific-TA if configured) and T</w:t>
      </w:r>
      <w:r w:rsidRPr="0017621B">
        <w:rPr>
          <w:vertAlign w:val="subscript"/>
        </w:rPr>
        <w:t>TA</w:t>
      </w:r>
      <w:r>
        <w:t xml:space="preserve"> is the full TA.</w:t>
      </w:r>
    </w:p>
    <w:p w14:paraId="233A0F9C" w14:textId="77777777" w:rsidR="003908C9" w:rsidRDefault="003908C9">
      <w:pPr>
        <w:pStyle w:val="TOC1"/>
        <w:rPr>
          <w:rFonts w:asciiTheme="minorHAnsi" w:eastAsiaTheme="minorEastAsia" w:hAnsiTheme="minorHAnsi" w:cstheme="minorBidi"/>
          <w:b w:val="0"/>
          <w:sz w:val="22"/>
          <w:lang w:val="en-GB" w:eastAsia="en-GB"/>
        </w:rPr>
      </w:pPr>
      <w:r>
        <w:t>Proposal 7</w:t>
      </w:r>
      <w:r>
        <w:rPr>
          <w:rFonts w:asciiTheme="minorHAnsi" w:eastAsiaTheme="minorEastAsia" w:hAnsiTheme="minorHAnsi" w:cstheme="minorBidi"/>
          <w:b w:val="0"/>
          <w:sz w:val="22"/>
          <w:lang w:val="en-GB" w:eastAsia="en-GB"/>
        </w:rPr>
        <w:tab/>
      </w:r>
      <w:r>
        <w:t>The UE may be configured with two thresholds to trigger TA reports based on Qta. ThDown triggers a TA report if Qta &lt; ThDown. ThUp triggers a TA report if Qta &gt; ThUp.</w:t>
      </w:r>
    </w:p>
    <w:p w14:paraId="05759204" w14:textId="77777777" w:rsidR="003908C9" w:rsidRDefault="003908C9">
      <w:pPr>
        <w:pStyle w:val="TOC1"/>
        <w:rPr>
          <w:rFonts w:asciiTheme="minorHAnsi" w:eastAsiaTheme="minorEastAsia" w:hAnsiTheme="minorHAnsi" w:cstheme="minorBidi"/>
          <w:b w:val="0"/>
          <w:sz w:val="22"/>
          <w:lang w:val="en-GB" w:eastAsia="en-GB"/>
        </w:rPr>
      </w:pPr>
      <w:r w:rsidRPr="0017621B">
        <w:rPr>
          <w:rFonts w:cs="Arial"/>
          <w:lang w:eastAsia="en-US"/>
        </w:rPr>
        <w:t>Proposal 8</w:t>
      </w:r>
      <w:r>
        <w:rPr>
          <w:rFonts w:asciiTheme="minorHAnsi" w:eastAsiaTheme="minorEastAsia" w:hAnsiTheme="minorHAnsi" w:cstheme="minorBidi"/>
          <w:b w:val="0"/>
          <w:sz w:val="22"/>
          <w:lang w:val="en-GB" w:eastAsia="en-GB"/>
        </w:rPr>
        <w:tab/>
      </w:r>
      <w:r>
        <w:t>RAN2 to discuss the case a TBS can fit all data if a new TA report MAC CE is not included, whether the UE shall then not send the new TA report MAC CE.</w:t>
      </w:r>
    </w:p>
    <w:p w14:paraId="0A6F5BBA" w14:textId="77777777" w:rsidR="003908C9" w:rsidRDefault="003908C9">
      <w:pPr>
        <w:pStyle w:val="TOC1"/>
        <w:rPr>
          <w:rFonts w:asciiTheme="minorHAnsi" w:eastAsiaTheme="minorEastAsia" w:hAnsiTheme="minorHAnsi" w:cstheme="minorBidi"/>
          <w:b w:val="0"/>
          <w:sz w:val="22"/>
          <w:lang w:val="en-GB" w:eastAsia="en-GB"/>
        </w:rPr>
      </w:pPr>
      <w:r w:rsidRPr="0017621B">
        <w:rPr>
          <w:rFonts w:cs="Arial"/>
          <w:lang w:eastAsia="en-US"/>
        </w:rPr>
        <w:t>Proposal 9</w:t>
      </w:r>
      <w:r>
        <w:rPr>
          <w:rFonts w:asciiTheme="minorHAnsi" w:eastAsiaTheme="minorEastAsia" w:hAnsiTheme="minorHAnsi" w:cstheme="minorBidi"/>
          <w:b w:val="0"/>
          <w:sz w:val="22"/>
          <w:lang w:val="en-GB" w:eastAsia="en-GB"/>
        </w:rPr>
        <w:tab/>
      </w:r>
      <w:r>
        <w:t>The gNB can request the UE to report TA in connected mode.</w:t>
      </w:r>
    </w:p>
    <w:p w14:paraId="6D1EB1DA" w14:textId="77777777" w:rsidR="003908C9" w:rsidRDefault="003908C9">
      <w:pPr>
        <w:pStyle w:val="TOC1"/>
        <w:rPr>
          <w:rFonts w:asciiTheme="minorHAnsi" w:eastAsiaTheme="minorEastAsia" w:hAnsiTheme="minorHAnsi" w:cstheme="minorBidi"/>
          <w:b w:val="0"/>
          <w:sz w:val="22"/>
          <w:lang w:val="en-GB" w:eastAsia="en-GB"/>
        </w:rPr>
      </w:pPr>
      <w:r>
        <w:t>Proposal 10</w:t>
      </w:r>
      <w:r>
        <w:rPr>
          <w:rFonts w:asciiTheme="minorHAnsi" w:eastAsiaTheme="minorEastAsia" w:hAnsiTheme="minorHAnsi" w:cstheme="minorBidi"/>
          <w:b w:val="0"/>
          <w:sz w:val="22"/>
          <w:lang w:val="en-GB" w:eastAsia="en-GB"/>
        </w:rPr>
        <w:tab/>
      </w:r>
      <w:r>
        <w:t xml:space="preserve">If </w:t>
      </w:r>
      <w:r>
        <w:rPr>
          <w:lang w:eastAsia="en-GB"/>
        </w:rPr>
        <w:t xml:space="preserve">the </w:t>
      </w:r>
      <w:r>
        <w:t xml:space="preserve">information about UE specific TA pre-compensation in connected mode </w:t>
      </w:r>
      <w:r>
        <w:rPr>
          <w:lang w:eastAsia="en-GB"/>
        </w:rPr>
        <w:t>is the UE position</w:t>
      </w:r>
      <w:r>
        <w:t>, then the event triggered report of information about the UE specific TA pre-compensation can be the same as in Proposal 6 and Proposal 7 but the reported quantity can be the UE location.</w:t>
      </w:r>
    </w:p>
    <w:p w14:paraId="4D99FCBE" w14:textId="77777777" w:rsidR="003908C9" w:rsidRDefault="003908C9">
      <w:pPr>
        <w:pStyle w:val="TOC1"/>
        <w:rPr>
          <w:rFonts w:asciiTheme="minorHAnsi" w:eastAsiaTheme="minorEastAsia" w:hAnsiTheme="minorHAnsi" w:cstheme="minorBidi"/>
          <w:b w:val="0"/>
          <w:sz w:val="22"/>
          <w:lang w:val="en-GB" w:eastAsia="en-GB"/>
        </w:rPr>
      </w:pPr>
      <w:r>
        <w:t>Proposal 11</w:t>
      </w:r>
      <w:r>
        <w:rPr>
          <w:rFonts w:asciiTheme="minorHAnsi" w:eastAsiaTheme="minorEastAsia" w:hAnsiTheme="minorHAnsi" w:cstheme="minorBidi"/>
          <w:b w:val="0"/>
          <w:sz w:val="22"/>
          <w:lang w:val="en-GB" w:eastAsia="en-GB"/>
        </w:rPr>
        <w:tab/>
      </w:r>
      <w:r>
        <w:t>RAN2 to discuss the UE specific Koffset MAC CE name and whether it uses an LCID or eLCID.</w:t>
      </w:r>
    </w:p>
    <w:p w14:paraId="2781EB4D" w14:textId="77777777" w:rsidR="003908C9" w:rsidRDefault="003908C9">
      <w:pPr>
        <w:pStyle w:val="TOC1"/>
        <w:rPr>
          <w:rFonts w:asciiTheme="minorHAnsi" w:eastAsiaTheme="minorEastAsia" w:hAnsiTheme="minorHAnsi" w:cstheme="minorBidi"/>
          <w:b w:val="0"/>
          <w:sz w:val="22"/>
          <w:lang w:val="en-GB" w:eastAsia="en-GB"/>
        </w:rPr>
      </w:pPr>
      <w:r>
        <w:t>Proposal 12</w:t>
      </w:r>
      <w:r>
        <w:rPr>
          <w:rFonts w:asciiTheme="minorHAnsi" w:eastAsiaTheme="minorEastAsia" w:hAnsiTheme="minorHAnsi" w:cstheme="minorBidi"/>
          <w:b w:val="0"/>
          <w:sz w:val="22"/>
          <w:lang w:val="en-GB" w:eastAsia="en-GB"/>
        </w:rPr>
        <w:tab/>
      </w:r>
      <w:r>
        <w:t>If the UL synchronization timer expires, the UE stop all uplink transmissions and triggers RLF.</w:t>
      </w:r>
    </w:p>
    <w:p w14:paraId="3E2CC07D" w14:textId="77777777" w:rsidR="003908C9" w:rsidRDefault="003908C9">
      <w:pPr>
        <w:pStyle w:val="TOC1"/>
        <w:rPr>
          <w:rFonts w:asciiTheme="minorHAnsi" w:eastAsiaTheme="minorEastAsia" w:hAnsiTheme="minorHAnsi" w:cstheme="minorBidi"/>
          <w:b w:val="0"/>
          <w:sz w:val="22"/>
          <w:lang w:val="en-GB" w:eastAsia="en-GB"/>
        </w:rPr>
      </w:pPr>
      <w:r>
        <w:t>Proposal 13</w:t>
      </w:r>
      <w:r>
        <w:rPr>
          <w:rFonts w:asciiTheme="minorHAnsi" w:eastAsiaTheme="minorEastAsia" w:hAnsiTheme="minorHAnsi" w:cstheme="minorBidi"/>
          <w:b w:val="0"/>
          <w:sz w:val="22"/>
          <w:lang w:val="en-GB" w:eastAsia="en-GB"/>
        </w:rPr>
        <w:tab/>
      </w:r>
      <w:r>
        <w:t>If the UE fails to acquire an accurate UE location to be used in the calculation of the full TA, the UE stop all uplink transmissions and trigger RLF.</w:t>
      </w:r>
    </w:p>
    <w:p w14:paraId="55E15B3E" w14:textId="77777777" w:rsidR="003908C9" w:rsidRDefault="003908C9">
      <w:pPr>
        <w:pStyle w:val="TOC1"/>
        <w:rPr>
          <w:rFonts w:asciiTheme="minorHAnsi" w:eastAsiaTheme="minorEastAsia" w:hAnsiTheme="minorHAnsi" w:cstheme="minorBidi"/>
          <w:b w:val="0"/>
          <w:sz w:val="22"/>
          <w:lang w:val="en-GB" w:eastAsia="en-GB"/>
        </w:rPr>
      </w:pPr>
      <w:r>
        <w:t>Proposal 14</w:t>
      </w:r>
      <w:r>
        <w:rPr>
          <w:rFonts w:asciiTheme="minorHAnsi" w:eastAsiaTheme="minorEastAsia" w:hAnsiTheme="minorHAnsi" w:cstheme="minorBidi"/>
          <w:b w:val="0"/>
          <w:sz w:val="22"/>
          <w:lang w:val="en-GB" w:eastAsia="en-GB"/>
        </w:rPr>
        <w:tab/>
      </w:r>
      <w:r>
        <w:t>RAN2 to discuss if there is a need to specify how or when timers that use the UE-gNB RTT shall be updated.</w:t>
      </w:r>
    </w:p>
    <w:p w14:paraId="7335105C" w14:textId="41763F93" w:rsidR="0057179C" w:rsidRPr="00C53B14" w:rsidRDefault="0057179C" w:rsidP="006645A6">
      <w:pPr>
        <w:pStyle w:val="BodyText"/>
      </w:pPr>
      <w:r w:rsidRPr="00C53B14">
        <w:fldChar w:fldCharType="end"/>
      </w:r>
    </w:p>
    <w:p w14:paraId="500DEC14" w14:textId="77777777" w:rsidR="004C09E6" w:rsidRPr="00C53B14" w:rsidRDefault="004C09E6" w:rsidP="004C09E6">
      <w:pPr>
        <w:pStyle w:val="Heading1"/>
      </w:pPr>
      <w:bookmarkStart w:id="860" w:name="_In-sequence_SDU_delivery"/>
      <w:bookmarkEnd w:id="860"/>
      <w:r w:rsidRPr="00C53B14">
        <w:t>References</w:t>
      </w:r>
    </w:p>
    <w:p w14:paraId="4126A417" w14:textId="02B4E30F" w:rsidR="004C09E6" w:rsidRPr="00C53B14" w:rsidRDefault="006A6737" w:rsidP="004C09E6">
      <w:pPr>
        <w:pStyle w:val="Reference"/>
      </w:pPr>
      <w:bookmarkStart w:id="861" w:name="_Ref45534353"/>
      <w:bookmarkStart w:id="862" w:name="_Ref509923152"/>
      <w:bookmarkStart w:id="863" w:name="_Ref174151459"/>
      <w:bookmarkStart w:id="864" w:name="_Ref189809556"/>
      <w:r w:rsidRPr="00C53B14">
        <w:rPr>
          <w:rStyle w:val="normaltextrun"/>
          <w:sz w:val="22"/>
          <w:szCs w:val="22"/>
        </w:rPr>
        <w:t>TR 38.821 “Study on solutions for NR to support non-terrestrial networks”</w:t>
      </w:r>
      <w:bookmarkEnd w:id="861"/>
      <w:r w:rsidR="00EB68CE" w:rsidRPr="00C53B14">
        <w:rPr>
          <w:rStyle w:val="normaltextrun"/>
          <w:sz w:val="22"/>
          <w:szCs w:val="22"/>
        </w:rPr>
        <w:t xml:space="preserve"> </w:t>
      </w:r>
      <w:bookmarkEnd w:id="862"/>
    </w:p>
    <w:p w14:paraId="0E33124A" w14:textId="38CE0082" w:rsidR="00DA1250" w:rsidRDefault="00B447AD" w:rsidP="00BB0595">
      <w:pPr>
        <w:pStyle w:val="Reference"/>
        <w:rPr>
          <w:sz w:val="22"/>
          <w:szCs w:val="22"/>
        </w:rPr>
      </w:pPr>
      <w:bookmarkStart w:id="865" w:name="_Ref85751098"/>
      <w:bookmarkEnd w:id="863"/>
      <w:bookmarkEnd w:id="864"/>
      <w:r w:rsidRPr="00B447AD">
        <w:rPr>
          <w:sz w:val="22"/>
          <w:szCs w:val="22"/>
        </w:rPr>
        <w:t>RP-211784, Solutions for NR to support non-terrestrial networks (NTN)", Thales, RAN#93, e-Meeting, September 2021</w:t>
      </w:r>
      <w:bookmarkEnd w:id="865"/>
      <w:r w:rsidRPr="00B447AD">
        <w:rPr>
          <w:sz w:val="22"/>
          <w:szCs w:val="22"/>
        </w:rPr>
        <w:t xml:space="preserve"> </w:t>
      </w:r>
    </w:p>
    <w:p w14:paraId="51F64029" w14:textId="15F559D2" w:rsidR="00B14DE3" w:rsidRDefault="00B14DE3" w:rsidP="00BB0595">
      <w:pPr>
        <w:pStyle w:val="Reference"/>
        <w:rPr>
          <w:sz w:val="22"/>
          <w:szCs w:val="22"/>
        </w:rPr>
      </w:pPr>
      <w:bookmarkStart w:id="866" w:name="_Ref90933300"/>
      <w:r w:rsidRPr="00B14DE3">
        <w:rPr>
          <w:sz w:val="22"/>
          <w:szCs w:val="22"/>
        </w:rPr>
        <w:t>R2-2111615</w:t>
      </w:r>
      <w:r>
        <w:rPr>
          <w:sz w:val="22"/>
          <w:szCs w:val="22"/>
        </w:rPr>
        <w:t>, “</w:t>
      </w:r>
      <w:r w:rsidRPr="00B14DE3">
        <w:rPr>
          <w:sz w:val="22"/>
          <w:szCs w:val="22"/>
        </w:rPr>
        <w:t>Stage-3 running CR for TS 38.321 for Rel-17 NTN</w:t>
      </w:r>
      <w:r>
        <w:rPr>
          <w:sz w:val="22"/>
          <w:szCs w:val="22"/>
        </w:rPr>
        <w:t>”, Interdigital, November 2021</w:t>
      </w:r>
      <w:bookmarkEnd w:id="866"/>
    </w:p>
    <w:p w14:paraId="00837BF9" w14:textId="4F2A3597" w:rsidR="000B1FD5" w:rsidRPr="00B447AD" w:rsidRDefault="000B1FD5" w:rsidP="00BB0595">
      <w:pPr>
        <w:pStyle w:val="Reference"/>
        <w:rPr>
          <w:sz w:val="22"/>
          <w:szCs w:val="22"/>
        </w:rPr>
      </w:pPr>
      <w:bookmarkStart w:id="867" w:name="_Ref92741986"/>
      <w:r w:rsidRPr="000B1FD5">
        <w:rPr>
          <w:sz w:val="22"/>
          <w:szCs w:val="22"/>
        </w:rPr>
        <w:t>R1-2112842</w:t>
      </w:r>
      <w:r>
        <w:rPr>
          <w:sz w:val="22"/>
          <w:szCs w:val="22"/>
        </w:rPr>
        <w:t>, “</w:t>
      </w:r>
      <w:r w:rsidRPr="000B1FD5">
        <w:rPr>
          <w:sz w:val="22"/>
          <w:szCs w:val="22"/>
        </w:rPr>
        <w:t>LS on Rel-17 MAC-CE impacts</w:t>
      </w:r>
      <w:r>
        <w:rPr>
          <w:sz w:val="22"/>
          <w:szCs w:val="22"/>
        </w:rPr>
        <w:t xml:space="preserve">”, </w:t>
      </w:r>
      <w:r w:rsidR="007D24C6">
        <w:rPr>
          <w:sz w:val="22"/>
          <w:szCs w:val="22"/>
        </w:rPr>
        <w:t>Source</w:t>
      </w:r>
      <w:r>
        <w:rPr>
          <w:sz w:val="22"/>
          <w:szCs w:val="22"/>
        </w:rPr>
        <w:t xml:space="preserve">: RAN1, To: RAN2, Cc: RAN4, </w:t>
      </w:r>
      <w:r w:rsidR="007D24C6">
        <w:rPr>
          <w:sz w:val="22"/>
          <w:szCs w:val="22"/>
        </w:rPr>
        <w:t xml:space="preserve">RAN1#107e </w:t>
      </w:r>
      <w:r>
        <w:rPr>
          <w:sz w:val="22"/>
          <w:szCs w:val="22"/>
        </w:rPr>
        <w:t>November 2021</w:t>
      </w:r>
      <w:bookmarkEnd w:id="867"/>
    </w:p>
    <w:p w14:paraId="3E6480BC" w14:textId="77777777" w:rsidR="004D5C74" w:rsidRPr="00C53B14" w:rsidRDefault="004D5C74" w:rsidP="00B67B54">
      <w:pPr>
        <w:rPr>
          <w:lang w:eastAsia="zh-CN"/>
        </w:rPr>
      </w:pPr>
    </w:p>
    <w:sectPr w:rsidR="004D5C74" w:rsidRPr="00C53B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9F09FF" w14:textId="77777777" w:rsidR="00B451A0" w:rsidRDefault="00B451A0" w:rsidP="00EB68CE">
      <w:pPr>
        <w:spacing w:after="0" w:line="240" w:lineRule="auto"/>
      </w:pPr>
      <w:r>
        <w:separator/>
      </w:r>
    </w:p>
  </w:endnote>
  <w:endnote w:type="continuationSeparator" w:id="0">
    <w:p w14:paraId="7C439063" w14:textId="77777777" w:rsidR="00B451A0" w:rsidRDefault="00B451A0" w:rsidP="00EB68CE">
      <w:pPr>
        <w:spacing w:after="0" w:line="240" w:lineRule="auto"/>
      </w:pPr>
      <w:r>
        <w:continuationSeparator/>
      </w:r>
    </w:p>
  </w:endnote>
  <w:endnote w:type="continuationNotice" w:id="1">
    <w:p w14:paraId="76B503C9" w14:textId="77777777" w:rsidR="00B451A0" w:rsidRDefault="00B451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178786" w14:textId="77777777" w:rsidR="00B451A0" w:rsidRDefault="00B451A0" w:rsidP="00EB68CE">
      <w:pPr>
        <w:spacing w:after="0" w:line="240" w:lineRule="auto"/>
      </w:pPr>
      <w:r>
        <w:separator/>
      </w:r>
    </w:p>
  </w:footnote>
  <w:footnote w:type="continuationSeparator" w:id="0">
    <w:p w14:paraId="31F9BBB7" w14:textId="77777777" w:rsidR="00B451A0" w:rsidRDefault="00B451A0" w:rsidP="00EB68CE">
      <w:pPr>
        <w:spacing w:after="0" w:line="240" w:lineRule="auto"/>
      </w:pPr>
      <w:r>
        <w:continuationSeparator/>
      </w:r>
    </w:p>
  </w:footnote>
  <w:footnote w:type="continuationNotice" w:id="1">
    <w:p w14:paraId="11CEB8A8" w14:textId="77777777" w:rsidR="00B451A0" w:rsidRDefault="00B451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552047"/>
    <w:multiLevelType w:val="multilevel"/>
    <w:tmpl w:val="393C047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029713E6"/>
    <w:multiLevelType w:val="hybridMultilevel"/>
    <w:tmpl w:val="00EE2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044E86"/>
    <w:multiLevelType w:val="hybridMultilevel"/>
    <w:tmpl w:val="EBD8823E"/>
    <w:lvl w:ilvl="0" w:tplc="446C4F3A">
      <w:start w:val="1"/>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4" w15:restartNumberingAfterBreak="0">
    <w:nsid w:val="0FB83A4D"/>
    <w:multiLevelType w:val="hybridMultilevel"/>
    <w:tmpl w:val="EF38DB94"/>
    <w:lvl w:ilvl="0" w:tplc="E29879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30B395C"/>
    <w:multiLevelType w:val="hybridMultilevel"/>
    <w:tmpl w:val="B546ABF8"/>
    <w:lvl w:ilvl="0" w:tplc="03AC1EF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5247C5"/>
    <w:multiLevelType w:val="hybridMultilevel"/>
    <w:tmpl w:val="0FA48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B5386A"/>
    <w:multiLevelType w:val="hybridMultilevel"/>
    <w:tmpl w:val="5554097E"/>
    <w:lvl w:ilvl="0" w:tplc="AB9888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45750A9"/>
    <w:multiLevelType w:val="hybridMultilevel"/>
    <w:tmpl w:val="FE7EF0FC"/>
    <w:lvl w:ilvl="0" w:tplc="DA0EE7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0AD0F40"/>
    <w:multiLevelType w:val="hybridMultilevel"/>
    <w:tmpl w:val="9080E7A4"/>
    <w:lvl w:ilvl="0" w:tplc="F9E6A062">
      <w:start w:val="5"/>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A46647"/>
    <w:multiLevelType w:val="hybridMultilevel"/>
    <w:tmpl w:val="95F2E964"/>
    <w:lvl w:ilvl="0" w:tplc="29D8926A">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E90568E"/>
    <w:multiLevelType w:val="hybridMultilevel"/>
    <w:tmpl w:val="DC02C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C202EF"/>
    <w:multiLevelType w:val="hybridMultilevel"/>
    <w:tmpl w:val="EF38DB94"/>
    <w:lvl w:ilvl="0" w:tplc="E29879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7037154"/>
    <w:multiLevelType w:val="hybridMultilevel"/>
    <w:tmpl w:val="D8ACF0A0"/>
    <w:lvl w:ilvl="0" w:tplc="2F7C1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A641878"/>
    <w:multiLevelType w:val="hybridMultilevel"/>
    <w:tmpl w:val="E93A168C"/>
    <w:lvl w:ilvl="0" w:tplc="790AE7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B5707B0"/>
    <w:multiLevelType w:val="hybridMultilevel"/>
    <w:tmpl w:val="8CA89634"/>
    <w:lvl w:ilvl="0" w:tplc="7250F2B4">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21" w15:restartNumberingAfterBreak="0">
    <w:nsid w:val="4BDF65F6"/>
    <w:multiLevelType w:val="hybridMultilevel"/>
    <w:tmpl w:val="315AD334"/>
    <w:lvl w:ilvl="0" w:tplc="F3327D4C">
      <w:start w:val="1"/>
      <w:numFmt w:val="decimal"/>
      <w:pStyle w:val="Reference"/>
      <w:lvlText w:val="[%1]"/>
      <w:lvlJc w:val="left"/>
      <w:pPr>
        <w:tabs>
          <w:tab w:val="num" w:pos="567"/>
        </w:tabs>
        <w:ind w:left="567"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1B78A6"/>
    <w:multiLevelType w:val="hybridMultilevel"/>
    <w:tmpl w:val="CFA45B0E"/>
    <w:lvl w:ilvl="0" w:tplc="968272D2">
      <w:start w:val="1"/>
      <w:numFmt w:val="bullet"/>
      <w:lvlText w:val=""/>
      <w:lvlJc w:val="left"/>
      <w:pPr>
        <w:ind w:left="720" w:hanging="360"/>
      </w:pPr>
    </w:lvl>
    <w:lvl w:ilvl="1" w:tplc="A1FA71B6">
      <w:start w:val="1"/>
      <w:numFmt w:val="bullet"/>
      <w:lvlText w:val="o"/>
      <w:lvlJc w:val="left"/>
      <w:pPr>
        <w:ind w:left="1440" w:hanging="360"/>
      </w:pPr>
    </w:lvl>
    <w:lvl w:ilvl="2" w:tplc="A1A23E6C">
      <w:start w:val="1"/>
      <w:numFmt w:val="bullet"/>
      <w:lvlText w:val=""/>
      <w:lvlJc w:val="left"/>
      <w:pPr>
        <w:ind w:left="2160" w:hanging="360"/>
      </w:pPr>
    </w:lvl>
    <w:lvl w:ilvl="3" w:tplc="A3C8CB82">
      <w:start w:val="1"/>
      <w:numFmt w:val="bullet"/>
      <w:lvlText w:val=""/>
      <w:lvlJc w:val="left"/>
      <w:pPr>
        <w:ind w:left="2880" w:hanging="360"/>
      </w:pPr>
    </w:lvl>
    <w:lvl w:ilvl="4" w:tplc="D6D69292">
      <w:start w:val="1"/>
      <w:numFmt w:val="bullet"/>
      <w:lvlText w:val="o"/>
      <w:lvlJc w:val="left"/>
      <w:pPr>
        <w:ind w:left="3600" w:hanging="360"/>
      </w:pPr>
    </w:lvl>
    <w:lvl w:ilvl="5" w:tplc="11DED228">
      <w:start w:val="1"/>
      <w:numFmt w:val="bullet"/>
      <w:lvlText w:val=""/>
      <w:lvlJc w:val="left"/>
      <w:pPr>
        <w:ind w:left="4320" w:hanging="360"/>
      </w:pPr>
    </w:lvl>
    <w:lvl w:ilvl="6" w:tplc="84F07C62">
      <w:start w:val="1"/>
      <w:numFmt w:val="bullet"/>
      <w:lvlText w:val=""/>
      <w:lvlJc w:val="left"/>
      <w:pPr>
        <w:ind w:left="5040" w:hanging="360"/>
      </w:pPr>
    </w:lvl>
    <w:lvl w:ilvl="7" w:tplc="46E4E604">
      <w:start w:val="1"/>
      <w:numFmt w:val="bullet"/>
      <w:lvlText w:val="o"/>
      <w:lvlJc w:val="left"/>
      <w:pPr>
        <w:ind w:left="5760" w:hanging="360"/>
      </w:pPr>
    </w:lvl>
    <w:lvl w:ilvl="8" w:tplc="A3AC8250">
      <w:start w:val="1"/>
      <w:numFmt w:val="bullet"/>
      <w:lvlText w:val=""/>
      <w:lvlJc w:val="left"/>
      <w:pPr>
        <w:ind w:left="6480" w:hanging="360"/>
      </w:pPr>
    </w:lvl>
  </w:abstractNum>
  <w:abstractNum w:abstractNumId="23"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D9937D1"/>
    <w:multiLevelType w:val="hybridMultilevel"/>
    <w:tmpl w:val="463826AC"/>
    <w:lvl w:ilvl="0" w:tplc="36A26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EDE596B"/>
    <w:multiLevelType w:val="hybridMultilevel"/>
    <w:tmpl w:val="862813F6"/>
    <w:lvl w:ilvl="0" w:tplc="B4C8D44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5101505E"/>
    <w:multiLevelType w:val="hybridMultilevel"/>
    <w:tmpl w:val="DD824592"/>
    <w:lvl w:ilvl="0" w:tplc="4D288B30">
      <w:start w:val="1"/>
      <w:numFmt w:val="decimal"/>
      <w:pStyle w:val="Observation"/>
      <w:lvlText w:val="Observation %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A958C0"/>
    <w:multiLevelType w:val="hybridMultilevel"/>
    <w:tmpl w:val="0DB8C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47060F"/>
    <w:multiLevelType w:val="hybridMultilevel"/>
    <w:tmpl w:val="8B54C1E8"/>
    <w:lvl w:ilvl="0" w:tplc="4DF06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BD366C5"/>
    <w:multiLevelType w:val="hybridMultilevel"/>
    <w:tmpl w:val="B9C08E68"/>
    <w:lvl w:ilvl="0" w:tplc="AB869F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BF8726A"/>
    <w:multiLevelType w:val="hybridMultilevel"/>
    <w:tmpl w:val="537C36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430544"/>
    <w:multiLevelType w:val="hybridMultilevel"/>
    <w:tmpl w:val="65DAB3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18D223B"/>
    <w:multiLevelType w:val="hybridMultilevel"/>
    <w:tmpl w:val="D780F438"/>
    <w:lvl w:ilvl="0" w:tplc="6E74C504">
      <w:start w:val="3"/>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48A3D31"/>
    <w:multiLevelType w:val="hybridMultilevel"/>
    <w:tmpl w:val="21F04F5A"/>
    <w:lvl w:ilvl="0" w:tplc="2C1EF3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6A3B36D8"/>
    <w:multiLevelType w:val="hybridMultilevel"/>
    <w:tmpl w:val="8702F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FB71C27"/>
    <w:multiLevelType w:val="hybridMultilevel"/>
    <w:tmpl w:val="AFEC9342"/>
    <w:lvl w:ilvl="0" w:tplc="AB6272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774217"/>
    <w:multiLevelType w:val="hybridMultilevel"/>
    <w:tmpl w:val="1B084802"/>
    <w:lvl w:ilvl="0" w:tplc="BC6857E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7931DD6"/>
    <w:multiLevelType w:val="hybridMultilevel"/>
    <w:tmpl w:val="0EB47A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A6D0D94"/>
    <w:multiLevelType w:val="hybridMultilevel"/>
    <w:tmpl w:val="7B18E1DE"/>
    <w:lvl w:ilvl="0" w:tplc="E29879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CA400C2"/>
    <w:multiLevelType w:val="hybridMultilevel"/>
    <w:tmpl w:val="835C0680"/>
    <w:lvl w:ilvl="0" w:tplc="CB02C9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21"/>
  </w:num>
  <w:num w:numId="3">
    <w:abstractNumId w:val="15"/>
  </w:num>
  <w:num w:numId="4">
    <w:abstractNumId w:val="26"/>
  </w:num>
  <w:num w:numId="5">
    <w:abstractNumId w:val="22"/>
  </w:num>
  <w:num w:numId="6">
    <w:abstractNumId w:val="34"/>
  </w:num>
  <w:num w:numId="7">
    <w:abstractNumId w:val="10"/>
  </w:num>
  <w:num w:numId="8">
    <w:abstractNumId w:val="35"/>
  </w:num>
  <w:num w:numId="9">
    <w:abstractNumId w:val="33"/>
  </w:num>
  <w:num w:numId="10">
    <w:abstractNumId w:val="27"/>
  </w:num>
  <w:num w:numId="11">
    <w:abstractNumId w:val="3"/>
  </w:num>
  <w:num w:numId="12">
    <w:abstractNumId w:val="38"/>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26"/>
  </w:num>
  <w:num w:numId="16">
    <w:abstractNumId w:val="7"/>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32"/>
  </w:num>
  <w:num w:numId="21">
    <w:abstractNumId w:val="28"/>
  </w:num>
  <w:num w:numId="22">
    <w:abstractNumId w:val="0"/>
  </w:num>
  <w:num w:numId="23">
    <w:abstractNumId w:val="29"/>
  </w:num>
  <w:num w:numId="24">
    <w:abstractNumId w:val="18"/>
  </w:num>
  <w:num w:numId="25">
    <w:abstractNumId w:val="30"/>
  </w:num>
  <w:num w:numId="26">
    <w:abstractNumId w:val="24"/>
  </w:num>
  <w:num w:numId="27">
    <w:abstractNumId w:val="19"/>
  </w:num>
  <w:num w:numId="28">
    <w:abstractNumId w:val="39"/>
  </w:num>
  <w:num w:numId="29">
    <w:abstractNumId w:val="37"/>
  </w:num>
  <w:num w:numId="30">
    <w:abstractNumId w:val="9"/>
  </w:num>
  <w:num w:numId="31">
    <w:abstractNumId w:val="14"/>
  </w:num>
  <w:num w:numId="32">
    <w:abstractNumId w:val="23"/>
  </w:num>
  <w:num w:numId="33">
    <w:abstractNumId w:val="11"/>
  </w:num>
  <w:num w:numId="34">
    <w:abstractNumId w:val="16"/>
  </w:num>
  <w:num w:numId="35">
    <w:abstractNumId w:val="41"/>
  </w:num>
  <w:num w:numId="36">
    <w:abstractNumId w:val="13"/>
  </w:num>
  <w:num w:numId="37">
    <w:abstractNumId w:val="36"/>
  </w:num>
  <w:num w:numId="38">
    <w:abstractNumId w:val="6"/>
  </w:num>
  <w:num w:numId="39">
    <w:abstractNumId w:val="15"/>
  </w:num>
  <w:num w:numId="40">
    <w:abstractNumId w:val="40"/>
  </w:num>
  <w:num w:numId="41">
    <w:abstractNumId w:val="12"/>
  </w:num>
  <w:num w:numId="42">
    <w:abstractNumId w:val="8"/>
  </w:num>
  <w:num w:numId="43">
    <w:abstractNumId w:val="42"/>
  </w:num>
  <w:num w:numId="44">
    <w:abstractNumId w:val="43"/>
  </w:num>
  <w:num w:numId="45">
    <w:abstractNumId w:val="17"/>
  </w:num>
  <w:num w:numId="46">
    <w:abstractNumId w:val="4"/>
  </w:num>
  <w:num w:numId="47">
    <w:abstractNumId w:val="26"/>
  </w:num>
  <w:num w:numId="48">
    <w:abstractNumId w:val="26"/>
  </w:num>
  <w:num w:numId="49">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DateAndTime/>
  <w:doNotDisplayPageBoundaries/>
  <w:defaultTabStop w:val="1304"/>
  <w:hyphenationZone w:val="425"/>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BA6"/>
    <w:rsid w:val="000021FD"/>
    <w:rsid w:val="00003092"/>
    <w:rsid w:val="000032C4"/>
    <w:rsid w:val="00003639"/>
    <w:rsid w:val="0000475C"/>
    <w:rsid w:val="00004B3F"/>
    <w:rsid w:val="00007156"/>
    <w:rsid w:val="00014C14"/>
    <w:rsid w:val="00015A1B"/>
    <w:rsid w:val="000214D4"/>
    <w:rsid w:val="000260FE"/>
    <w:rsid w:val="000308F3"/>
    <w:rsid w:val="000318DB"/>
    <w:rsid w:val="00032334"/>
    <w:rsid w:val="00033DCD"/>
    <w:rsid w:val="0003491B"/>
    <w:rsid w:val="00034CE8"/>
    <w:rsid w:val="000379BD"/>
    <w:rsid w:val="00037AB8"/>
    <w:rsid w:val="00040258"/>
    <w:rsid w:val="00042258"/>
    <w:rsid w:val="000434B3"/>
    <w:rsid w:val="00044C71"/>
    <w:rsid w:val="00045699"/>
    <w:rsid w:val="00046D7D"/>
    <w:rsid w:val="0004736D"/>
    <w:rsid w:val="00052E4F"/>
    <w:rsid w:val="000530DE"/>
    <w:rsid w:val="00053ED9"/>
    <w:rsid w:val="000554EE"/>
    <w:rsid w:val="00055C35"/>
    <w:rsid w:val="00061BF7"/>
    <w:rsid w:val="00064CE1"/>
    <w:rsid w:val="00065537"/>
    <w:rsid w:val="00066856"/>
    <w:rsid w:val="00070E12"/>
    <w:rsid w:val="000714AC"/>
    <w:rsid w:val="00071936"/>
    <w:rsid w:val="00072135"/>
    <w:rsid w:val="0007276A"/>
    <w:rsid w:val="00073224"/>
    <w:rsid w:val="0007324C"/>
    <w:rsid w:val="000732CA"/>
    <w:rsid w:val="00074E79"/>
    <w:rsid w:val="000769D3"/>
    <w:rsid w:val="000817A8"/>
    <w:rsid w:val="00081CB7"/>
    <w:rsid w:val="000830E4"/>
    <w:rsid w:val="0008543A"/>
    <w:rsid w:val="00085C4F"/>
    <w:rsid w:val="0008648A"/>
    <w:rsid w:val="000872A2"/>
    <w:rsid w:val="00091230"/>
    <w:rsid w:val="00092CC2"/>
    <w:rsid w:val="00093142"/>
    <w:rsid w:val="000949D5"/>
    <w:rsid w:val="00096A69"/>
    <w:rsid w:val="00097348"/>
    <w:rsid w:val="000A191F"/>
    <w:rsid w:val="000A2433"/>
    <w:rsid w:val="000A29F2"/>
    <w:rsid w:val="000A321D"/>
    <w:rsid w:val="000A4308"/>
    <w:rsid w:val="000A45C3"/>
    <w:rsid w:val="000A5C21"/>
    <w:rsid w:val="000B1BBF"/>
    <w:rsid w:val="000B1FD5"/>
    <w:rsid w:val="000B4AEF"/>
    <w:rsid w:val="000B6832"/>
    <w:rsid w:val="000B6D03"/>
    <w:rsid w:val="000B77F0"/>
    <w:rsid w:val="000C3550"/>
    <w:rsid w:val="000C35EB"/>
    <w:rsid w:val="000C70DA"/>
    <w:rsid w:val="000C7D3C"/>
    <w:rsid w:val="000D0913"/>
    <w:rsid w:val="000D3382"/>
    <w:rsid w:val="000D3AD5"/>
    <w:rsid w:val="000D4D08"/>
    <w:rsid w:val="000D5788"/>
    <w:rsid w:val="000D5A8B"/>
    <w:rsid w:val="000D7C52"/>
    <w:rsid w:val="000E016A"/>
    <w:rsid w:val="000E079E"/>
    <w:rsid w:val="000E089A"/>
    <w:rsid w:val="000E24B4"/>
    <w:rsid w:val="000E6E01"/>
    <w:rsid w:val="000E7E6F"/>
    <w:rsid w:val="000F096B"/>
    <w:rsid w:val="000F0FEF"/>
    <w:rsid w:val="000F143B"/>
    <w:rsid w:val="000F1B4D"/>
    <w:rsid w:val="000F509C"/>
    <w:rsid w:val="000F6A0A"/>
    <w:rsid w:val="00100612"/>
    <w:rsid w:val="0010509C"/>
    <w:rsid w:val="001073DF"/>
    <w:rsid w:val="00107D64"/>
    <w:rsid w:val="00113142"/>
    <w:rsid w:val="00113DF0"/>
    <w:rsid w:val="0011456F"/>
    <w:rsid w:val="00114906"/>
    <w:rsid w:val="00115327"/>
    <w:rsid w:val="00115E0F"/>
    <w:rsid w:val="00115E91"/>
    <w:rsid w:val="0011665F"/>
    <w:rsid w:val="00117F94"/>
    <w:rsid w:val="00120728"/>
    <w:rsid w:val="00121F0D"/>
    <w:rsid w:val="001221C5"/>
    <w:rsid w:val="00123A2D"/>
    <w:rsid w:val="00126277"/>
    <w:rsid w:val="00127641"/>
    <w:rsid w:val="00127B89"/>
    <w:rsid w:val="00127D91"/>
    <w:rsid w:val="00132674"/>
    <w:rsid w:val="001364E5"/>
    <w:rsid w:val="00143168"/>
    <w:rsid w:val="00143807"/>
    <w:rsid w:val="001474A7"/>
    <w:rsid w:val="00150895"/>
    <w:rsid w:val="001517DD"/>
    <w:rsid w:val="00153798"/>
    <w:rsid w:val="0015430A"/>
    <w:rsid w:val="0015707E"/>
    <w:rsid w:val="00157E6F"/>
    <w:rsid w:val="0016157D"/>
    <w:rsid w:val="00163A3C"/>
    <w:rsid w:val="001641EF"/>
    <w:rsid w:val="0016469A"/>
    <w:rsid w:val="00165DEC"/>
    <w:rsid w:val="001678B3"/>
    <w:rsid w:val="00170ECF"/>
    <w:rsid w:val="00171346"/>
    <w:rsid w:val="00181A4B"/>
    <w:rsid w:val="001851AC"/>
    <w:rsid w:val="00191B53"/>
    <w:rsid w:val="001950D9"/>
    <w:rsid w:val="001A02B9"/>
    <w:rsid w:val="001A14A0"/>
    <w:rsid w:val="001A1A35"/>
    <w:rsid w:val="001A2655"/>
    <w:rsid w:val="001A4122"/>
    <w:rsid w:val="001A4500"/>
    <w:rsid w:val="001A45D7"/>
    <w:rsid w:val="001B693E"/>
    <w:rsid w:val="001B786C"/>
    <w:rsid w:val="001C298C"/>
    <w:rsid w:val="001C2B1F"/>
    <w:rsid w:val="001C372C"/>
    <w:rsid w:val="001C4068"/>
    <w:rsid w:val="001C4C6D"/>
    <w:rsid w:val="001C5FF4"/>
    <w:rsid w:val="001C6146"/>
    <w:rsid w:val="001C7902"/>
    <w:rsid w:val="001D046B"/>
    <w:rsid w:val="001D0978"/>
    <w:rsid w:val="001D0A92"/>
    <w:rsid w:val="001D2723"/>
    <w:rsid w:val="001D3A66"/>
    <w:rsid w:val="001D40C9"/>
    <w:rsid w:val="001D52C6"/>
    <w:rsid w:val="001E010B"/>
    <w:rsid w:val="001E0FEC"/>
    <w:rsid w:val="001E10E3"/>
    <w:rsid w:val="001E1367"/>
    <w:rsid w:val="001E291F"/>
    <w:rsid w:val="001E29FC"/>
    <w:rsid w:val="001E3283"/>
    <w:rsid w:val="001E7EE5"/>
    <w:rsid w:val="001F0AFA"/>
    <w:rsid w:val="001F0FB2"/>
    <w:rsid w:val="001F56D6"/>
    <w:rsid w:val="001F5E68"/>
    <w:rsid w:val="00200B76"/>
    <w:rsid w:val="00204697"/>
    <w:rsid w:val="00204B97"/>
    <w:rsid w:val="00204CD7"/>
    <w:rsid w:val="00206F8D"/>
    <w:rsid w:val="0020763F"/>
    <w:rsid w:val="00210C8C"/>
    <w:rsid w:val="0021456E"/>
    <w:rsid w:val="002165A1"/>
    <w:rsid w:val="00216F08"/>
    <w:rsid w:val="002217D4"/>
    <w:rsid w:val="00222F40"/>
    <w:rsid w:val="002277EE"/>
    <w:rsid w:val="00230477"/>
    <w:rsid w:val="0023194D"/>
    <w:rsid w:val="00234793"/>
    <w:rsid w:val="002350C7"/>
    <w:rsid w:val="00236160"/>
    <w:rsid w:val="00243076"/>
    <w:rsid w:val="00247BC2"/>
    <w:rsid w:val="00251726"/>
    <w:rsid w:val="00253C2F"/>
    <w:rsid w:val="00254222"/>
    <w:rsid w:val="0025462D"/>
    <w:rsid w:val="0025469D"/>
    <w:rsid w:val="0025624E"/>
    <w:rsid w:val="00257AF5"/>
    <w:rsid w:val="0026386C"/>
    <w:rsid w:val="00264935"/>
    <w:rsid w:val="00265866"/>
    <w:rsid w:val="00270038"/>
    <w:rsid w:val="002702A3"/>
    <w:rsid w:val="0027047F"/>
    <w:rsid w:val="002710A1"/>
    <w:rsid w:val="0027167E"/>
    <w:rsid w:val="002721ED"/>
    <w:rsid w:val="00272B7F"/>
    <w:rsid w:val="00272D4E"/>
    <w:rsid w:val="0027312E"/>
    <w:rsid w:val="002732F2"/>
    <w:rsid w:val="00273BB5"/>
    <w:rsid w:val="00277DE5"/>
    <w:rsid w:val="00280FE3"/>
    <w:rsid w:val="002829FF"/>
    <w:rsid w:val="0028529E"/>
    <w:rsid w:val="002852A9"/>
    <w:rsid w:val="002910B9"/>
    <w:rsid w:val="00291C5C"/>
    <w:rsid w:val="00294736"/>
    <w:rsid w:val="002950A2"/>
    <w:rsid w:val="00295924"/>
    <w:rsid w:val="00297F43"/>
    <w:rsid w:val="002A0794"/>
    <w:rsid w:val="002A2AD2"/>
    <w:rsid w:val="002A3CB1"/>
    <w:rsid w:val="002B0A0A"/>
    <w:rsid w:val="002B33E9"/>
    <w:rsid w:val="002B50B0"/>
    <w:rsid w:val="002B674B"/>
    <w:rsid w:val="002B68BB"/>
    <w:rsid w:val="002C011C"/>
    <w:rsid w:val="002C04F8"/>
    <w:rsid w:val="002C360E"/>
    <w:rsid w:val="002C3B30"/>
    <w:rsid w:val="002C3CA0"/>
    <w:rsid w:val="002C7958"/>
    <w:rsid w:val="002D0783"/>
    <w:rsid w:val="002D7572"/>
    <w:rsid w:val="002D7BDD"/>
    <w:rsid w:val="002E3026"/>
    <w:rsid w:val="002E3271"/>
    <w:rsid w:val="002F0FAC"/>
    <w:rsid w:val="002F32C4"/>
    <w:rsid w:val="002F3B06"/>
    <w:rsid w:val="002F544C"/>
    <w:rsid w:val="002F6171"/>
    <w:rsid w:val="002F73B9"/>
    <w:rsid w:val="002F7EB9"/>
    <w:rsid w:val="00304FD7"/>
    <w:rsid w:val="00306704"/>
    <w:rsid w:val="00311C50"/>
    <w:rsid w:val="003144A0"/>
    <w:rsid w:val="003216E5"/>
    <w:rsid w:val="00323BCF"/>
    <w:rsid w:val="00324AA1"/>
    <w:rsid w:val="00330150"/>
    <w:rsid w:val="003301B4"/>
    <w:rsid w:val="00330421"/>
    <w:rsid w:val="0033147D"/>
    <w:rsid w:val="00331B05"/>
    <w:rsid w:val="003374CE"/>
    <w:rsid w:val="0034362C"/>
    <w:rsid w:val="0034363C"/>
    <w:rsid w:val="00343BAC"/>
    <w:rsid w:val="00351BC0"/>
    <w:rsid w:val="00357EB6"/>
    <w:rsid w:val="00362B0D"/>
    <w:rsid w:val="003642B8"/>
    <w:rsid w:val="0036735E"/>
    <w:rsid w:val="00370797"/>
    <w:rsid w:val="00371264"/>
    <w:rsid w:val="00382769"/>
    <w:rsid w:val="003827CD"/>
    <w:rsid w:val="0038392A"/>
    <w:rsid w:val="00386D72"/>
    <w:rsid w:val="003908C9"/>
    <w:rsid w:val="00390ED3"/>
    <w:rsid w:val="00392402"/>
    <w:rsid w:val="00392C85"/>
    <w:rsid w:val="00394972"/>
    <w:rsid w:val="003959AF"/>
    <w:rsid w:val="00396542"/>
    <w:rsid w:val="0039654C"/>
    <w:rsid w:val="003A0833"/>
    <w:rsid w:val="003A3FB0"/>
    <w:rsid w:val="003B0613"/>
    <w:rsid w:val="003B145D"/>
    <w:rsid w:val="003B2340"/>
    <w:rsid w:val="003B552F"/>
    <w:rsid w:val="003C1C43"/>
    <w:rsid w:val="003C2EF0"/>
    <w:rsid w:val="003C4855"/>
    <w:rsid w:val="003D1A27"/>
    <w:rsid w:val="003D31B1"/>
    <w:rsid w:val="003D3DDE"/>
    <w:rsid w:val="003D3EA2"/>
    <w:rsid w:val="003D60ED"/>
    <w:rsid w:val="003E0538"/>
    <w:rsid w:val="003E18AF"/>
    <w:rsid w:val="003E20E7"/>
    <w:rsid w:val="003E470A"/>
    <w:rsid w:val="003E5D04"/>
    <w:rsid w:val="003E6DA2"/>
    <w:rsid w:val="003E7F66"/>
    <w:rsid w:val="003F1DAC"/>
    <w:rsid w:val="003F2E0E"/>
    <w:rsid w:val="003F47F1"/>
    <w:rsid w:val="003F49AE"/>
    <w:rsid w:val="004006EE"/>
    <w:rsid w:val="00402E2E"/>
    <w:rsid w:val="004032AE"/>
    <w:rsid w:val="0040366B"/>
    <w:rsid w:val="00404A80"/>
    <w:rsid w:val="00410118"/>
    <w:rsid w:val="00412593"/>
    <w:rsid w:val="00413E41"/>
    <w:rsid w:val="00416771"/>
    <w:rsid w:val="00420FF8"/>
    <w:rsid w:val="0042396A"/>
    <w:rsid w:val="00423DA3"/>
    <w:rsid w:val="00424491"/>
    <w:rsid w:val="004249DD"/>
    <w:rsid w:val="00424EAF"/>
    <w:rsid w:val="00425102"/>
    <w:rsid w:val="004271EE"/>
    <w:rsid w:val="004330F6"/>
    <w:rsid w:val="00436103"/>
    <w:rsid w:val="0044054F"/>
    <w:rsid w:val="004528C8"/>
    <w:rsid w:val="004535F4"/>
    <w:rsid w:val="0045651B"/>
    <w:rsid w:val="0045654F"/>
    <w:rsid w:val="00460652"/>
    <w:rsid w:val="00467D89"/>
    <w:rsid w:val="00473CE3"/>
    <w:rsid w:val="00477DFD"/>
    <w:rsid w:val="0048127A"/>
    <w:rsid w:val="00484570"/>
    <w:rsid w:val="004857DF"/>
    <w:rsid w:val="004857FB"/>
    <w:rsid w:val="004860EF"/>
    <w:rsid w:val="00487B87"/>
    <w:rsid w:val="00492AD3"/>
    <w:rsid w:val="00494699"/>
    <w:rsid w:val="00494A30"/>
    <w:rsid w:val="00495ADA"/>
    <w:rsid w:val="0049753C"/>
    <w:rsid w:val="00497821"/>
    <w:rsid w:val="004A46B4"/>
    <w:rsid w:val="004A4975"/>
    <w:rsid w:val="004A795D"/>
    <w:rsid w:val="004B1259"/>
    <w:rsid w:val="004B1262"/>
    <w:rsid w:val="004B245D"/>
    <w:rsid w:val="004B4C40"/>
    <w:rsid w:val="004B7C9D"/>
    <w:rsid w:val="004C09E6"/>
    <w:rsid w:val="004C13A3"/>
    <w:rsid w:val="004C2FAA"/>
    <w:rsid w:val="004C30AD"/>
    <w:rsid w:val="004C3664"/>
    <w:rsid w:val="004C580C"/>
    <w:rsid w:val="004C6D91"/>
    <w:rsid w:val="004C7432"/>
    <w:rsid w:val="004D2253"/>
    <w:rsid w:val="004D2C1B"/>
    <w:rsid w:val="004D2E67"/>
    <w:rsid w:val="004D46A1"/>
    <w:rsid w:val="004D584E"/>
    <w:rsid w:val="004D5C74"/>
    <w:rsid w:val="004D65F0"/>
    <w:rsid w:val="004E2053"/>
    <w:rsid w:val="004E4AAE"/>
    <w:rsid w:val="004E54A4"/>
    <w:rsid w:val="004E56BC"/>
    <w:rsid w:val="004E74EF"/>
    <w:rsid w:val="004F102C"/>
    <w:rsid w:val="004F7E96"/>
    <w:rsid w:val="00500664"/>
    <w:rsid w:val="00502E71"/>
    <w:rsid w:val="0050456B"/>
    <w:rsid w:val="005053E7"/>
    <w:rsid w:val="00506F48"/>
    <w:rsid w:val="005079E0"/>
    <w:rsid w:val="00507C1F"/>
    <w:rsid w:val="005112B9"/>
    <w:rsid w:val="00511CB9"/>
    <w:rsid w:val="00511F0A"/>
    <w:rsid w:val="00512515"/>
    <w:rsid w:val="00517552"/>
    <w:rsid w:val="00521A31"/>
    <w:rsid w:val="00522845"/>
    <w:rsid w:val="0052293F"/>
    <w:rsid w:val="00522E88"/>
    <w:rsid w:val="00525D42"/>
    <w:rsid w:val="005262DA"/>
    <w:rsid w:val="005427F1"/>
    <w:rsid w:val="00542F3E"/>
    <w:rsid w:val="00545772"/>
    <w:rsid w:val="005464CC"/>
    <w:rsid w:val="005510A8"/>
    <w:rsid w:val="005528A9"/>
    <w:rsid w:val="00552CCE"/>
    <w:rsid w:val="00552D5A"/>
    <w:rsid w:val="00556864"/>
    <w:rsid w:val="00556D04"/>
    <w:rsid w:val="005636D3"/>
    <w:rsid w:val="00563C43"/>
    <w:rsid w:val="00566877"/>
    <w:rsid w:val="0057179C"/>
    <w:rsid w:val="0057334A"/>
    <w:rsid w:val="00574F21"/>
    <w:rsid w:val="005755B1"/>
    <w:rsid w:val="00576AAF"/>
    <w:rsid w:val="005776DB"/>
    <w:rsid w:val="00577FC6"/>
    <w:rsid w:val="00580F70"/>
    <w:rsid w:val="005830D5"/>
    <w:rsid w:val="00583237"/>
    <w:rsid w:val="00583513"/>
    <w:rsid w:val="00583ADE"/>
    <w:rsid w:val="00587E28"/>
    <w:rsid w:val="00591655"/>
    <w:rsid w:val="00593D96"/>
    <w:rsid w:val="005A502A"/>
    <w:rsid w:val="005A6D5A"/>
    <w:rsid w:val="005A744E"/>
    <w:rsid w:val="005B092E"/>
    <w:rsid w:val="005B1528"/>
    <w:rsid w:val="005B2A7B"/>
    <w:rsid w:val="005B2DF1"/>
    <w:rsid w:val="005B4167"/>
    <w:rsid w:val="005B7DA2"/>
    <w:rsid w:val="005C02C2"/>
    <w:rsid w:val="005C0524"/>
    <w:rsid w:val="005C5900"/>
    <w:rsid w:val="005C72E6"/>
    <w:rsid w:val="005D0FBB"/>
    <w:rsid w:val="005D1966"/>
    <w:rsid w:val="005D6C71"/>
    <w:rsid w:val="005D7152"/>
    <w:rsid w:val="005E0085"/>
    <w:rsid w:val="005E2610"/>
    <w:rsid w:val="005E476E"/>
    <w:rsid w:val="005E5291"/>
    <w:rsid w:val="005E56B1"/>
    <w:rsid w:val="005F1A78"/>
    <w:rsid w:val="006006E0"/>
    <w:rsid w:val="00600F82"/>
    <w:rsid w:val="00601FF1"/>
    <w:rsid w:val="00602760"/>
    <w:rsid w:val="0060412D"/>
    <w:rsid w:val="00606A9A"/>
    <w:rsid w:val="0061182F"/>
    <w:rsid w:val="00612A93"/>
    <w:rsid w:val="00612B06"/>
    <w:rsid w:val="00613E8D"/>
    <w:rsid w:val="00614BFD"/>
    <w:rsid w:val="00620587"/>
    <w:rsid w:val="00620655"/>
    <w:rsid w:val="00623811"/>
    <w:rsid w:val="006255FE"/>
    <w:rsid w:val="006314E9"/>
    <w:rsid w:val="006328B2"/>
    <w:rsid w:val="00635161"/>
    <w:rsid w:val="006354F7"/>
    <w:rsid w:val="00640686"/>
    <w:rsid w:val="006431FD"/>
    <w:rsid w:val="006444CA"/>
    <w:rsid w:val="006468CB"/>
    <w:rsid w:val="0065090A"/>
    <w:rsid w:val="00651799"/>
    <w:rsid w:val="00652E89"/>
    <w:rsid w:val="00654E76"/>
    <w:rsid w:val="006558CF"/>
    <w:rsid w:val="00655998"/>
    <w:rsid w:val="006644C2"/>
    <w:rsid w:val="006645A6"/>
    <w:rsid w:val="0066467F"/>
    <w:rsid w:val="006650C4"/>
    <w:rsid w:val="006713BF"/>
    <w:rsid w:val="00673CA6"/>
    <w:rsid w:val="0067471A"/>
    <w:rsid w:val="006809C6"/>
    <w:rsid w:val="00680F65"/>
    <w:rsid w:val="006814A9"/>
    <w:rsid w:val="00681A58"/>
    <w:rsid w:val="00681BD7"/>
    <w:rsid w:val="006824FF"/>
    <w:rsid w:val="006829DA"/>
    <w:rsid w:val="00682DCE"/>
    <w:rsid w:val="00684E59"/>
    <w:rsid w:val="006855F8"/>
    <w:rsid w:val="0069279A"/>
    <w:rsid w:val="00695A98"/>
    <w:rsid w:val="006978D3"/>
    <w:rsid w:val="006A0783"/>
    <w:rsid w:val="006A15C5"/>
    <w:rsid w:val="006A1891"/>
    <w:rsid w:val="006A2F5E"/>
    <w:rsid w:val="006A46C4"/>
    <w:rsid w:val="006A4B5C"/>
    <w:rsid w:val="006A6737"/>
    <w:rsid w:val="006A7A78"/>
    <w:rsid w:val="006B01CB"/>
    <w:rsid w:val="006B5015"/>
    <w:rsid w:val="006B592E"/>
    <w:rsid w:val="006C0671"/>
    <w:rsid w:val="006C2350"/>
    <w:rsid w:val="006C350C"/>
    <w:rsid w:val="006C3CC3"/>
    <w:rsid w:val="006C6887"/>
    <w:rsid w:val="006C6EDB"/>
    <w:rsid w:val="006D04EB"/>
    <w:rsid w:val="006D0D37"/>
    <w:rsid w:val="006D1026"/>
    <w:rsid w:val="006D5903"/>
    <w:rsid w:val="006E30D4"/>
    <w:rsid w:val="006E7925"/>
    <w:rsid w:val="006E7D6E"/>
    <w:rsid w:val="006F4871"/>
    <w:rsid w:val="00700935"/>
    <w:rsid w:val="00701788"/>
    <w:rsid w:val="00702293"/>
    <w:rsid w:val="00704B74"/>
    <w:rsid w:val="007050EF"/>
    <w:rsid w:val="007066A0"/>
    <w:rsid w:val="00707A74"/>
    <w:rsid w:val="0071155E"/>
    <w:rsid w:val="00711FB1"/>
    <w:rsid w:val="00712A10"/>
    <w:rsid w:val="00714D7E"/>
    <w:rsid w:val="007164A6"/>
    <w:rsid w:val="0072264D"/>
    <w:rsid w:val="007234A4"/>
    <w:rsid w:val="007244A9"/>
    <w:rsid w:val="00725600"/>
    <w:rsid w:val="007262E7"/>
    <w:rsid w:val="00727146"/>
    <w:rsid w:val="007275B3"/>
    <w:rsid w:val="00732D86"/>
    <w:rsid w:val="0073428E"/>
    <w:rsid w:val="0073648C"/>
    <w:rsid w:val="00737153"/>
    <w:rsid w:val="00744030"/>
    <w:rsid w:val="007445EA"/>
    <w:rsid w:val="007449A9"/>
    <w:rsid w:val="00744D59"/>
    <w:rsid w:val="007452C5"/>
    <w:rsid w:val="007470FB"/>
    <w:rsid w:val="007479EE"/>
    <w:rsid w:val="00750382"/>
    <w:rsid w:val="00750FA9"/>
    <w:rsid w:val="007528D0"/>
    <w:rsid w:val="00754C28"/>
    <w:rsid w:val="0075518E"/>
    <w:rsid w:val="00756290"/>
    <w:rsid w:val="00756966"/>
    <w:rsid w:val="00760751"/>
    <w:rsid w:val="00761BC6"/>
    <w:rsid w:val="0076396E"/>
    <w:rsid w:val="00764377"/>
    <w:rsid w:val="00766883"/>
    <w:rsid w:val="00766B9F"/>
    <w:rsid w:val="00771156"/>
    <w:rsid w:val="00771250"/>
    <w:rsid w:val="00772808"/>
    <w:rsid w:val="00773911"/>
    <w:rsid w:val="00773FFC"/>
    <w:rsid w:val="00774F04"/>
    <w:rsid w:val="00775CB3"/>
    <w:rsid w:val="00776A9D"/>
    <w:rsid w:val="00782C3E"/>
    <w:rsid w:val="00782E4D"/>
    <w:rsid w:val="00782F25"/>
    <w:rsid w:val="007842B4"/>
    <w:rsid w:val="00786C66"/>
    <w:rsid w:val="007903FD"/>
    <w:rsid w:val="007908B1"/>
    <w:rsid w:val="00797F62"/>
    <w:rsid w:val="007A3ADB"/>
    <w:rsid w:val="007A4420"/>
    <w:rsid w:val="007A4A7D"/>
    <w:rsid w:val="007A6457"/>
    <w:rsid w:val="007A72A4"/>
    <w:rsid w:val="007A76FB"/>
    <w:rsid w:val="007B0073"/>
    <w:rsid w:val="007B0212"/>
    <w:rsid w:val="007B155D"/>
    <w:rsid w:val="007B245A"/>
    <w:rsid w:val="007B26F5"/>
    <w:rsid w:val="007B5053"/>
    <w:rsid w:val="007B5422"/>
    <w:rsid w:val="007B55F0"/>
    <w:rsid w:val="007B58D4"/>
    <w:rsid w:val="007B76D2"/>
    <w:rsid w:val="007B7828"/>
    <w:rsid w:val="007C5107"/>
    <w:rsid w:val="007C5F24"/>
    <w:rsid w:val="007C7103"/>
    <w:rsid w:val="007D0BD4"/>
    <w:rsid w:val="007D24C6"/>
    <w:rsid w:val="007D6DF5"/>
    <w:rsid w:val="007D74EB"/>
    <w:rsid w:val="007E14A7"/>
    <w:rsid w:val="007E3A09"/>
    <w:rsid w:val="007E4A40"/>
    <w:rsid w:val="007E4B62"/>
    <w:rsid w:val="007E5621"/>
    <w:rsid w:val="007E5CB0"/>
    <w:rsid w:val="007F5E86"/>
    <w:rsid w:val="00802A20"/>
    <w:rsid w:val="00803703"/>
    <w:rsid w:val="008061EE"/>
    <w:rsid w:val="00816049"/>
    <w:rsid w:val="008173B8"/>
    <w:rsid w:val="008239E7"/>
    <w:rsid w:val="00824067"/>
    <w:rsid w:val="008255FB"/>
    <w:rsid w:val="00825F60"/>
    <w:rsid w:val="00830536"/>
    <w:rsid w:val="008315CE"/>
    <w:rsid w:val="0083433E"/>
    <w:rsid w:val="00835646"/>
    <w:rsid w:val="00835AFA"/>
    <w:rsid w:val="008379CF"/>
    <w:rsid w:val="0084246E"/>
    <w:rsid w:val="00842BB3"/>
    <w:rsid w:val="00843AA6"/>
    <w:rsid w:val="00845300"/>
    <w:rsid w:val="00845670"/>
    <w:rsid w:val="00846315"/>
    <w:rsid w:val="00851F42"/>
    <w:rsid w:val="00854630"/>
    <w:rsid w:val="00855D89"/>
    <w:rsid w:val="0085750C"/>
    <w:rsid w:val="00857B5F"/>
    <w:rsid w:val="008619BB"/>
    <w:rsid w:val="008627D3"/>
    <w:rsid w:val="008636A1"/>
    <w:rsid w:val="00863DC7"/>
    <w:rsid w:val="008658E3"/>
    <w:rsid w:val="00866196"/>
    <w:rsid w:val="0086707B"/>
    <w:rsid w:val="00875A22"/>
    <w:rsid w:val="008769C3"/>
    <w:rsid w:val="00877CB4"/>
    <w:rsid w:val="008812F5"/>
    <w:rsid w:val="00886360"/>
    <w:rsid w:val="00886ACD"/>
    <w:rsid w:val="008874D0"/>
    <w:rsid w:val="00891786"/>
    <w:rsid w:val="00891BA9"/>
    <w:rsid w:val="00893B13"/>
    <w:rsid w:val="00894A89"/>
    <w:rsid w:val="0089548C"/>
    <w:rsid w:val="00896F66"/>
    <w:rsid w:val="008A0749"/>
    <w:rsid w:val="008A26AE"/>
    <w:rsid w:val="008A72AD"/>
    <w:rsid w:val="008A77C0"/>
    <w:rsid w:val="008B3DBE"/>
    <w:rsid w:val="008B3DFC"/>
    <w:rsid w:val="008B5276"/>
    <w:rsid w:val="008C176C"/>
    <w:rsid w:val="008C1C67"/>
    <w:rsid w:val="008C26C4"/>
    <w:rsid w:val="008C65E3"/>
    <w:rsid w:val="008C7E96"/>
    <w:rsid w:val="008D4073"/>
    <w:rsid w:val="008E287D"/>
    <w:rsid w:val="008E3FB8"/>
    <w:rsid w:val="008F09EF"/>
    <w:rsid w:val="008F1872"/>
    <w:rsid w:val="008F1A48"/>
    <w:rsid w:val="008F4570"/>
    <w:rsid w:val="008F5B67"/>
    <w:rsid w:val="008F6DC9"/>
    <w:rsid w:val="008F7F71"/>
    <w:rsid w:val="009079DD"/>
    <w:rsid w:val="00907AF2"/>
    <w:rsid w:val="00910690"/>
    <w:rsid w:val="009117C8"/>
    <w:rsid w:val="009121B0"/>
    <w:rsid w:val="00912BF9"/>
    <w:rsid w:val="0091305B"/>
    <w:rsid w:val="00914EAE"/>
    <w:rsid w:val="00915C8F"/>
    <w:rsid w:val="00922D29"/>
    <w:rsid w:val="00924BD4"/>
    <w:rsid w:val="0092526D"/>
    <w:rsid w:val="00926342"/>
    <w:rsid w:val="0092681A"/>
    <w:rsid w:val="00926846"/>
    <w:rsid w:val="00933580"/>
    <w:rsid w:val="0093728F"/>
    <w:rsid w:val="00942A1E"/>
    <w:rsid w:val="00943046"/>
    <w:rsid w:val="009439D8"/>
    <w:rsid w:val="009512FC"/>
    <w:rsid w:val="0095289D"/>
    <w:rsid w:val="00953EDD"/>
    <w:rsid w:val="00963A03"/>
    <w:rsid w:val="00964F51"/>
    <w:rsid w:val="0096524C"/>
    <w:rsid w:val="00966EBF"/>
    <w:rsid w:val="0097023D"/>
    <w:rsid w:val="00972094"/>
    <w:rsid w:val="00972C75"/>
    <w:rsid w:val="009739A3"/>
    <w:rsid w:val="009747CA"/>
    <w:rsid w:val="009777E7"/>
    <w:rsid w:val="009829EA"/>
    <w:rsid w:val="00984A92"/>
    <w:rsid w:val="009879B3"/>
    <w:rsid w:val="00991371"/>
    <w:rsid w:val="00992789"/>
    <w:rsid w:val="009929BA"/>
    <w:rsid w:val="00995B41"/>
    <w:rsid w:val="009A11F2"/>
    <w:rsid w:val="009A1254"/>
    <w:rsid w:val="009A23D6"/>
    <w:rsid w:val="009A285E"/>
    <w:rsid w:val="009A3920"/>
    <w:rsid w:val="009A45CE"/>
    <w:rsid w:val="009A6697"/>
    <w:rsid w:val="009A790A"/>
    <w:rsid w:val="009B1127"/>
    <w:rsid w:val="009B240E"/>
    <w:rsid w:val="009B3838"/>
    <w:rsid w:val="009B3959"/>
    <w:rsid w:val="009B3ED8"/>
    <w:rsid w:val="009C21DC"/>
    <w:rsid w:val="009C3244"/>
    <w:rsid w:val="009C605A"/>
    <w:rsid w:val="009D0D4B"/>
    <w:rsid w:val="009E139E"/>
    <w:rsid w:val="009E1D51"/>
    <w:rsid w:val="009E2299"/>
    <w:rsid w:val="009E2C75"/>
    <w:rsid w:val="009E3EF6"/>
    <w:rsid w:val="009E62F6"/>
    <w:rsid w:val="009F09AD"/>
    <w:rsid w:val="009F1C6D"/>
    <w:rsid w:val="009F1E5F"/>
    <w:rsid w:val="009F3A34"/>
    <w:rsid w:val="009F4D0C"/>
    <w:rsid w:val="009F7697"/>
    <w:rsid w:val="00A0748D"/>
    <w:rsid w:val="00A10F64"/>
    <w:rsid w:val="00A12B6D"/>
    <w:rsid w:val="00A12C94"/>
    <w:rsid w:val="00A14276"/>
    <w:rsid w:val="00A149B1"/>
    <w:rsid w:val="00A14D73"/>
    <w:rsid w:val="00A156D1"/>
    <w:rsid w:val="00A15E6E"/>
    <w:rsid w:val="00A2300D"/>
    <w:rsid w:val="00A23E02"/>
    <w:rsid w:val="00A24B3D"/>
    <w:rsid w:val="00A2590F"/>
    <w:rsid w:val="00A26034"/>
    <w:rsid w:val="00A26AD1"/>
    <w:rsid w:val="00A27876"/>
    <w:rsid w:val="00A32E2B"/>
    <w:rsid w:val="00A3486F"/>
    <w:rsid w:val="00A44175"/>
    <w:rsid w:val="00A46493"/>
    <w:rsid w:val="00A50202"/>
    <w:rsid w:val="00A5346E"/>
    <w:rsid w:val="00A562CC"/>
    <w:rsid w:val="00A57B02"/>
    <w:rsid w:val="00A61246"/>
    <w:rsid w:val="00A64A1F"/>
    <w:rsid w:val="00A662D3"/>
    <w:rsid w:val="00A67CE1"/>
    <w:rsid w:val="00A70025"/>
    <w:rsid w:val="00A70471"/>
    <w:rsid w:val="00A70E13"/>
    <w:rsid w:val="00A70EEC"/>
    <w:rsid w:val="00A72AD6"/>
    <w:rsid w:val="00A738D1"/>
    <w:rsid w:val="00A75BEC"/>
    <w:rsid w:val="00A762DF"/>
    <w:rsid w:val="00A76AF9"/>
    <w:rsid w:val="00A7735C"/>
    <w:rsid w:val="00A8058B"/>
    <w:rsid w:val="00A9013B"/>
    <w:rsid w:val="00A930A9"/>
    <w:rsid w:val="00A964DE"/>
    <w:rsid w:val="00A9687F"/>
    <w:rsid w:val="00A96E5D"/>
    <w:rsid w:val="00AA11D3"/>
    <w:rsid w:val="00AA3C84"/>
    <w:rsid w:val="00AA50A7"/>
    <w:rsid w:val="00AA561F"/>
    <w:rsid w:val="00AA669E"/>
    <w:rsid w:val="00AA7748"/>
    <w:rsid w:val="00AA7EE8"/>
    <w:rsid w:val="00AB071D"/>
    <w:rsid w:val="00AB09FE"/>
    <w:rsid w:val="00AB55D6"/>
    <w:rsid w:val="00AB6830"/>
    <w:rsid w:val="00AC4D3D"/>
    <w:rsid w:val="00AC795A"/>
    <w:rsid w:val="00AD02BB"/>
    <w:rsid w:val="00AD29F9"/>
    <w:rsid w:val="00AD4186"/>
    <w:rsid w:val="00AD5968"/>
    <w:rsid w:val="00AD7076"/>
    <w:rsid w:val="00AD7AD4"/>
    <w:rsid w:val="00AE22C2"/>
    <w:rsid w:val="00AE55C2"/>
    <w:rsid w:val="00AE5975"/>
    <w:rsid w:val="00AE6212"/>
    <w:rsid w:val="00AF0BA6"/>
    <w:rsid w:val="00AF2565"/>
    <w:rsid w:val="00AF2B1D"/>
    <w:rsid w:val="00AF2E55"/>
    <w:rsid w:val="00AF31F6"/>
    <w:rsid w:val="00AF3BD3"/>
    <w:rsid w:val="00AF53C9"/>
    <w:rsid w:val="00B02918"/>
    <w:rsid w:val="00B05B72"/>
    <w:rsid w:val="00B07650"/>
    <w:rsid w:val="00B1147D"/>
    <w:rsid w:val="00B11C07"/>
    <w:rsid w:val="00B120BE"/>
    <w:rsid w:val="00B147DC"/>
    <w:rsid w:val="00B14DE3"/>
    <w:rsid w:val="00B15032"/>
    <w:rsid w:val="00B160FE"/>
    <w:rsid w:val="00B16343"/>
    <w:rsid w:val="00B16A66"/>
    <w:rsid w:val="00B17494"/>
    <w:rsid w:val="00B202CE"/>
    <w:rsid w:val="00B20B4B"/>
    <w:rsid w:val="00B21AF3"/>
    <w:rsid w:val="00B2378B"/>
    <w:rsid w:val="00B27C51"/>
    <w:rsid w:val="00B33DB6"/>
    <w:rsid w:val="00B348BA"/>
    <w:rsid w:val="00B37700"/>
    <w:rsid w:val="00B37EDA"/>
    <w:rsid w:val="00B404F5"/>
    <w:rsid w:val="00B426D7"/>
    <w:rsid w:val="00B42722"/>
    <w:rsid w:val="00B42CC2"/>
    <w:rsid w:val="00B42E10"/>
    <w:rsid w:val="00B447AD"/>
    <w:rsid w:val="00B448D8"/>
    <w:rsid w:val="00B451A0"/>
    <w:rsid w:val="00B47373"/>
    <w:rsid w:val="00B5424B"/>
    <w:rsid w:val="00B5701A"/>
    <w:rsid w:val="00B576DF"/>
    <w:rsid w:val="00B60994"/>
    <w:rsid w:val="00B61F2B"/>
    <w:rsid w:val="00B65479"/>
    <w:rsid w:val="00B654F4"/>
    <w:rsid w:val="00B65F8D"/>
    <w:rsid w:val="00B678F0"/>
    <w:rsid w:val="00B67B54"/>
    <w:rsid w:val="00B72CD3"/>
    <w:rsid w:val="00B74AC1"/>
    <w:rsid w:val="00B7657F"/>
    <w:rsid w:val="00B80079"/>
    <w:rsid w:val="00B83352"/>
    <w:rsid w:val="00B87303"/>
    <w:rsid w:val="00B90BF3"/>
    <w:rsid w:val="00B918CF"/>
    <w:rsid w:val="00B91E15"/>
    <w:rsid w:val="00B92BC5"/>
    <w:rsid w:val="00B946EA"/>
    <w:rsid w:val="00BA0555"/>
    <w:rsid w:val="00BA5981"/>
    <w:rsid w:val="00BA68D6"/>
    <w:rsid w:val="00BB0595"/>
    <w:rsid w:val="00BB17E5"/>
    <w:rsid w:val="00BB328E"/>
    <w:rsid w:val="00BB39DE"/>
    <w:rsid w:val="00BC0268"/>
    <w:rsid w:val="00BC0E9C"/>
    <w:rsid w:val="00BC3B2C"/>
    <w:rsid w:val="00BC6377"/>
    <w:rsid w:val="00BC6490"/>
    <w:rsid w:val="00BC65D2"/>
    <w:rsid w:val="00BC72B8"/>
    <w:rsid w:val="00BD6159"/>
    <w:rsid w:val="00BD7360"/>
    <w:rsid w:val="00BE7E64"/>
    <w:rsid w:val="00BF4212"/>
    <w:rsid w:val="00BF5E76"/>
    <w:rsid w:val="00BF7401"/>
    <w:rsid w:val="00BF7B84"/>
    <w:rsid w:val="00C00C75"/>
    <w:rsid w:val="00C03C62"/>
    <w:rsid w:val="00C04F1E"/>
    <w:rsid w:val="00C0510D"/>
    <w:rsid w:val="00C05151"/>
    <w:rsid w:val="00C052F9"/>
    <w:rsid w:val="00C053E4"/>
    <w:rsid w:val="00C05D44"/>
    <w:rsid w:val="00C073C9"/>
    <w:rsid w:val="00C12CA5"/>
    <w:rsid w:val="00C162DA"/>
    <w:rsid w:val="00C20797"/>
    <w:rsid w:val="00C212A2"/>
    <w:rsid w:val="00C2195C"/>
    <w:rsid w:val="00C25935"/>
    <w:rsid w:val="00C34056"/>
    <w:rsid w:val="00C34AB7"/>
    <w:rsid w:val="00C34CB0"/>
    <w:rsid w:val="00C37C9E"/>
    <w:rsid w:val="00C400D8"/>
    <w:rsid w:val="00C40939"/>
    <w:rsid w:val="00C42ED7"/>
    <w:rsid w:val="00C462DD"/>
    <w:rsid w:val="00C472F6"/>
    <w:rsid w:val="00C51111"/>
    <w:rsid w:val="00C51146"/>
    <w:rsid w:val="00C5145F"/>
    <w:rsid w:val="00C534B9"/>
    <w:rsid w:val="00C53B14"/>
    <w:rsid w:val="00C57156"/>
    <w:rsid w:val="00C61A0F"/>
    <w:rsid w:val="00C65BFB"/>
    <w:rsid w:val="00C6648A"/>
    <w:rsid w:val="00C7089D"/>
    <w:rsid w:val="00C71BE2"/>
    <w:rsid w:val="00C75EDD"/>
    <w:rsid w:val="00C81180"/>
    <w:rsid w:val="00C8141B"/>
    <w:rsid w:val="00C81FFB"/>
    <w:rsid w:val="00C82534"/>
    <w:rsid w:val="00C828B1"/>
    <w:rsid w:val="00C845A1"/>
    <w:rsid w:val="00C95117"/>
    <w:rsid w:val="00C9668D"/>
    <w:rsid w:val="00CA3354"/>
    <w:rsid w:val="00CA42F3"/>
    <w:rsid w:val="00CA43F5"/>
    <w:rsid w:val="00CA581D"/>
    <w:rsid w:val="00CA6EF4"/>
    <w:rsid w:val="00CA70B0"/>
    <w:rsid w:val="00CA72E8"/>
    <w:rsid w:val="00CA74CA"/>
    <w:rsid w:val="00CA763A"/>
    <w:rsid w:val="00CA7868"/>
    <w:rsid w:val="00CB1DBA"/>
    <w:rsid w:val="00CB3610"/>
    <w:rsid w:val="00CB6C8A"/>
    <w:rsid w:val="00CB772B"/>
    <w:rsid w:val="00CB7D03"/>
    <w:rsid w:val="00CB7E1A"/>
    <w:rsid w:val="00CC17B7"/>
    <w:rsid w:val="00CC3650"/>
    <w:rsid w:val="00CC3771"/>
    <w:rsid w:val="00CD026D"/>
    <w:rsid w:val="00CD10A5"/>
    <w:rsid w:val="00CD15C1"/>
    <w:rsid w:val="00CD1C8B"/>
    <w:rsid w:val="00CD27BD"/>
    <w:rsid w:val="00CD2976"/>
    <w:rsid w:val="00CD450F"/>
    <w:rsid w:val="00CD49D3"/>
    <w:rsid w:val="00CD5547"/>
    <w:rsid w:val="00CD5991"/>
    <w:rsid w:val="00CD6A75"/>
    <w:rsid w:val="00CE149D"/>
    <w:rsid w:val="00CE44FD"/>
    <w:rsid w:val="00CE7D53"/>
    <w:rsid w:val="00CF1B78"/>
    <w:rsid w:val="00CF55D9"/>
    <w:rsid w:val="00CF5D3A"/>
    <w:rsid w:val="00CF5E20"/>
    <w:rsid w:val="00CF7E06"/>
    <w:rsid w:val="00D00489"/>
    <w:rsid w:val="00D004AE"/>
    <w:rsid w:val="00D00BAD"/>
    <w:rsid w:val="00D052D5"/>
    <w:rsid w:val="00D054B8"/>
    <w:rsid w:val="00D05B2A"/>
    <w:rsid w:val="00D07AC6"/>
    <w:rsid w:val="00D11689"/>
    <w:rsid w:val="00D15384"/>
    <w:rsid w:val="00D21156"/>
    <w:rsid w:val="00D220B0"/>
    <w:rsid w:val="00D22F8A"/>
    <w:rsid w:val="00D23377"/>
    <w:rsid w:val="00D30A45"/>
    <w:rsid w:val="00D31F63"/>
    <w:rsid w:val="00D35459"/>
    <w:rsid w:val="00D37530"/>
    <w:rsid w:val="00D37E62"/>
    <w:rsid w:val="00D40FD0"/>
    <w:rsid w:val="00D4442F"/>
    <w:rsid w:val="00D447AD"/>
    <w:rsid w:val="00D45D47"/>
    <w:rsid w:val="00D47314"/>
    <w:rsid w:val="00D47949"/>
    <w:rsid w:val="00D504D9"/>
    <w:rsid w:val="00D550A1"/>
    <w:rsid w:val="00D557EF"/>
    <w:rsid w:val="00D5669F"/>
    <w:rsid w:val="00D5674F"/>
    <w:rsid w:val="00D57F2B"/>
    <w:rsid w:val="00D60980"/>
    <w:rsid w:val="00D70591"/>
    <w:rsid w:val="00D70622"/>
    <w:rsid w:val="00D7137D"/>
    <w:rsid w:val="00D71639"/>
    <w:rsid w:val="00D74015"/>
    <w:rsid w:val="00D753F7"/>
    <w:rsid w:val="00D76B7C"/>
    <w:rsid w:val="00D82D1C"/>
    <w:rsid w:val="00D85538"/>
    <w:rsid w:val="00D85A42"/>
    <w:rsid w:val="00D87FEC"/>
    <w:rsid w:val="00D90304"/>
    <w:rsid w:val="00D96275"/>
    <w:rsid w:val="00D966F5"/>
    <w:rsid w:val="00D975F1"/>
    <w:rsid w:val="00DA113D"/>
    <w:rsid w:val="00DA1250"/>
    <w:rsid w:val="00DA55A1"/>
    <w:rsid w:val="00DA6362"/>
    <w:rsid w:val="00DA6572"/>
    <w:rsid w:val="00DA7302"/>
    <w:rsid w:val="00DA7541"/>
    <w:rsid w:val="00DA7D4E"/>
    <w:rsid w:val="00DB0E25"/>
    <w:rsid w:val="00DB1A53"/>
    <w:rsid w:val="00DB7CCF"/>
    <w:rsid w:val="00DB7FF9"/>
    <w:rsid w:val="00DC2C1D"/>
    <w:rsid w:val="00DC325B"/>
    <w:rsid w:val="00DC6B76"/>
    <w:rsid w:val="00DD0211"/>
    <w:rsid w:val="00DD21A0"/>
    <w:rsid w:val="00DD2349"/>
    <w:rsid w:val="00DD2D49"/>
    <w:rsid w:val="00DD509C"/>
    <w:rsid w:val="00DD517E"/>
    <w:rsid w:val="00DD55F6"/>
    <w:rsid w:val="00DD59C0"/>
    <w:rsid w:val="00DD67FB"/>
    <w:rsid w:val="00DD7CF7"/>
    <w:rsid w:val="00DE3A58"/>
    <w:rsid w:val="00DE3BEE"/>
    <w:rsid w:val="00DE695D"/>
    <w:rsid w:val="00DF0085"/>
    <w:rsid w:val="00DF0DB0"/>
    <w:rsid w:val="00DF34E8"/>
    <w:rsid w:val="00DF39DE"/>
    <w:rsid w:val="00DF77C1"/>
    <w:rsid w:val="00DF7AED"/>
    <w:rsid w:val="00E00813"/>
    <w:rsid w:val="00E00B1C"/>
    <w:rsid w:val="00E0191D"/>
    <w:rsid w:val="00E071C4"/>
    <w:rsid w:val="00E07D35"/>
    <w:rsid w:val="00E109B1"/>
    <w:rsid w:val="00E11D29"/>
    <w:rsid w:val="00E14912"/>
    <w:rsid w:val="00E166E8"/>
    <w:rsid w:val="00E2164F"/>
    <w:rsid w:val="00E22D84"/>
    <w:rsid w:val="00E232D8"/>
    <w:rsid w:val="00E23CB7"/>
    <w:rsid w:val="00E23F59"/>
    <w:rsid w:val="00E273F0"/>
    <w:rsid w:val="00E300BB"/>
    <w:rsid w:val="00E30B7A"/>
    <w:rsid w:val="00E35041"/>
    <w:rsid w:val="00E45F2E"/>
    <w:rsid w:val="00E4600A"/>
    <w:rsid w:val="00E474B3"/>
    <w:rsid w:val="00E47917"/>
    <w:rsid w:val="00E56352"/>
    <w:rsid w:val="00E57ACF"/>
    <w:rsid w:val="00E61A6A"/>
    <w:rsid w:val="00E6689F"/>
    <w:rsid w:val="00E67923"/>
    <w:rsid w:val="00E7010C"/>
    <w:rsid w:val="00E70DA4"/>
    <w:rsid w:val="00E726FB"/>
    <w:rsid w:val="00E73409"/>
    <w:rsid w:val="00E747E7"/>
    <w:rsid w:val="00E74F48"/>
    <w:rsid w:val="00E754AE"/>
    <w:rsid w:val="00E75C6D"/>
    <w:rsid w:val="00E76664"/>
    <w:rsid w:val="00E80339"/>
    <w:rsid w:val="00E80D1B"/>
    <w:rsid w:val="00E8180A"/>
    <w:rsid w:val="00E84EE6"/>
    <w:rsid w:val="00E87938"/>
    <w:rsid w:val="00E94D46"/>
    <w:rsid w:val="00E97187"/>
    <w:rsid w:val="00EA1A4E"/>
    <w:rsid w:val="00EA71C7"/>
    <w:rsid w:val="00EA7A50"/>
    <w:rsid w:val="00EB19A9"/>
    <w:rsid w:val="00EB408A"/>
    <w:rsid w:val="00EB6553"/>
    <w:rsid w:val="00EB68CE"/>
    <w:rsid w:val="00EC5A5D"/>
    <w:rsid w:val="00EC6A60"/>
    <w:rsid w:val="00EC6EE8"/>
    <w:rsid w:val="00EC71FB"/>
    <w:rsid w:val="00ED0F01"/>
    <w:rsid w:val="00ED376D"/>
    <w:rsid w:val="00ED3A63"/>
    <w:rsid w:val="00ED3E0B"/>
    <w:rsid w:val="00ED3FD8"/>
    <w:rsid w:val="00ED5151"/>
    <w:rsid w:val="00EE1D4E"/>
    <w:rsid w:val="00EE3B8C"/>
    <w:rsid w:val="00EE4A17"/>
    <w:rsid w:val="00EE670B"/>
    <w:rsid w:val="00EF0920"/>
    <w:rsid w:val="00EF0B0E"/>
    <w:rsid w:val="00EF1B1C"/>
    <w:rsid w:val="00EF4350"/>
    <w:rsid w:val="00EF4D93"/>
    <w:rsid w:val="00F01A74"/>
    <w:rsid w:val="00F05582"/>
    <w:rsid w:val="00F128E6"/>
    <w:rsid w:val="00F139EF"/>
    <w:rsid w:val="00F1627D"/>
    <w:rsid w:val="00F168FF"/>
    <w:rsid w:val="00F17202"/>
    <w:rsid w:val="00F173B6"/>
    <w:rsid w:val="00F17DC2"/>
    <w:rsid w:val="00F17F84"/>
    <w:rsid w:val="00F17FF0"/>
    <w:rsid w:val="00F200E3"/>
    <w:rsid w:val="00F224A7"/>
    <w:rsid w:val="00F2403B"/>
    <w:rsid w:val="00F24A61"/>
    <w:rsid w:val="00F257E4"/>
    <w:rsid w:val="00F3219D"/>
    <w:rsid w:val="00F36382"/>
    <w:rsid w:val="00F426FC"/>
    <w:rsid w:val="00F42EC4"/>
    <w:rsid w:val="00F43100"/>
    <w:rsid w:val="00F4640F"/>
    <w:rsid w:val="00F5210D"/>
    <w:rsid w:val="00F52390"/>
    <w:rsid w:val="00F52B5A"/>
    <w:rsid w:val="00F60985"/>
    <w:rsid w:val="00F60DED"/>
    <w:rsid w:val="00F61331"/>
    <w:rsid w:val="00F61368"/>
    <w:rsid w:val="00F623C6"/>
    <w:rsid w:val="00F635D3"/>
    <w:rsid w:val="00F67CCC"/>
    <w:rsid w:val="00F74D81"/>
    <w:rsid w:val="00F75F10"/>
    <w:rsid w:val="00F771DF"/>
    <w:rsid w:val="00F84533"/>
    <w:rsid w:val="00F8573E"/>
    <w:rsid w:val="00F87295"/>
    <w:rsid w:val="00F90E08"/>
    <w:rsid w:val="00F93D12"/>
    <w:rsid w:val="00FA03AE"/>
    <w:rsid w:val="00FA1E32"/>
    <w:rsid w:val="00FA32F6"/>
    <w:rsid w:val="00FA378C"/>
    <w:rsid w:val="00FA7B18"/>
    <w:rsid w:val="00FB14C2"/>
    <w:rsid w:val="00FB2F33"/>
    <w:rsid w:val="00FC2024"/>
    <w:rsid w:val="00FC3255"/>
    <w:rsid w:val="00FC623F"/>
    <w:rsid w:val="00FD4C7E"/>
    <w:rsid w:val="00FD5853"/>
    <w:rsid w:val="00FD647C"/>
    <w:rsid w:val="00FE03F6"/>
    <w:rsid w:val="00FE0B84"/>
    <w:rsid w:val="00FE3331"/>
    <w:rsid w:val="00FE4BEB"/>
    <w:rsid w:val="00FE7924"/>
    <w:rsid w:val="00FF0D18"/>
    <w:rsid w:val="00FF2E4F"/>
    <w:rsid w:val="00FF622E"/>
    <w:rsid w:val="00FF70BA"/>
    <w:rsid w:val="00FF72E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B7E54E5"/>
  <w15:chartTrackingRefBased/>
  <w15:docId w15:val="{BF0AB7C1-0D17-4490-8319-EC88A4168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640F"/>
    <w:rPr>
      <w:rFonts w:ascii="Arial" w:hAnsi="Arial"/>
      <w:sz w:val="20"/>
      <w:lang w:val="en-GB"/>
    </w:rPr>
  </w:style>
  <w:style w:type="paragraph" w:styleId="Heading1">
    <w:name w:val="heading 1"/>
    <w:next w:val="Normal"/>
    <w:link w:val="Heading1Char"/>
    <w:qFormat/>
    <w:rsid w:val="004C09E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4C09E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4C09E6"/>
    <w:pPr>
      <w:numPr>
        <w:ilvl w:val="0"/>
        <w:numId w:val="0"/>
      </w:numPr>
      <w:spacing w:before="120"/>
      <w:outlineLvl w:val="2"/>
    </w:pPr>
    <w:rPr>
      <w:sz w:val="28"/>
      <w:szCs w:val="28"/>
    </w:rPr>
  </w:style>
  <w:style w:type="paragraph" w:styleId="Heading4">
    <w:name w:val="heading 4"/>
    <w:basedOn w:val="Heading3"/>
    <w:next w:val="Normal"/>
    <w:link w:val="Heading4Char"/>
    <w:qFormat/>
    <w:rsid w:val="004C09E6"/>
    <w:pPr>
      <w:numPr>
        <w:ilvl w:val="3"/>
      </w:numPr>
      <w:outlineLvl w:val="3"/>
    </w:pPr>
    <w:rPr>
      <w:sz w:val="24"/>
      <w:szCs w:val="24"/>
    </w:rPr>
  </w:style>
  <w:style w:type="paragraph" w:styleId="Heading5">
    <w:name w:val="heading 5"/>
    <w:basedOn w:val="Heading4"/>
    <w:next w:val="Normal"/>
    <w:link w:val="Heading5Char"/>
    <w:qFormat/>
    <w:rsid w:val="004C09E6"/>
    <w:pPr>
      <w:numPr>
        <w:ilvl w:val="4"/>
      </w:numPr>
      <w:outlineLvl w:val="4"/>
    </w:pPr>
    <w:rPr>
      <w:sz w:val="22"/>
      <w:szCs w:val="22"/>
    </w:rPr>
  </w:style>
  <w:style w:type="paragraph" w:styleId="Heading6">
    <w:name w:val="heading 6"/>
    <w:basedOn w:val="Normal"/>
    <w:next w:val="Normal"/>
    <w:link w:val="Heading6Char"/>
    <w:qFormat/>
    <w:rsid w:val="004C09E6"/>
    <w:pPr>
      <w:keepNext/>
      <w:keepLines/>
      <w:numPr>
        <w:ilvl w:val="5"/>
        <w:numId w:val="1"/>
      </w:numPr>
      <w:overflowPunct w:val="0"/>
      <w:autoSpaceDE w:val="0"/>
      <w:autoSpaceDN w:val="0"/>
      <w:adjustRightInd w:val="0"/>
      <w:spacing w:before="120" w:after="120" w:line="240" w:lineRule="auto"/>
      <w:jc w:val="both"/>
      <w:textAlignment w:val="baseline"/>
      <w:outlineLvl w:val="5"/>
    </w:pPr>
    <w:rPr>
      <w:rFonts w:eastAsia="Times New Roman" w:cs="Arial"/>
      <w:szCs w:val="20"/>
      <w:lang w:eastAsia="zh-CN"/>
    </w:rPr>
  </w:style>
  <w:style w:type="paragraph" w:styleId="Heading7">
    <w:name w:val="heading 7"/>
    <w:basedOn w:val="Normal"/>
    <w:next w:val="Normal"/>
    <w:link w:val="Heading7Char"/>
    <w:qFormat/>
    <w:rsid w:val="004C09E6"/>
    <w:pPr>
      <w:keepNext/>
      <w:keepLines/>
      <w:numPr>
        <w:ilvl w:val="6"/>
        <w:numId w:val="1"/>
      </w:numPr>
      <w:overflowPunct w:val="0"/>
      <w:autoSpaceDE w:val="0"/>
      <w:autoSpaceDN w:val="0"/>
      <w:adjustRightInd w:val="0"/>
      <w:spacing w:before="120" w:after="120" w:line="240" w:lineRule="auto"/>
      <w:jc w:val="both"/>
      <w:textAlignment w:val="baseline"/>
      <w:outlineLvl w:val="6"/>
    </w:pPr>
    <w:rPr>
      <w:rFonts w:eastAsia="Times New Roman" w:cs="Arial"/>
      <w:szCs w:val="20"/>
      <w:lang w:eastAsia="zh-CN"/>
    </w:rPr>
  </w:style>
  <w:style w:type="paragraph" w:styleId="Heading8">
    <w:name w:val="heading 8"/>
    <w:basedOn w:val="Heading7"/>
    <w:next w:val="Normal"/>
    <w:link w:val="Heading8Char"/>
    <w:qFormat/>
    <w:rsid w:val="004C09E6"/>
    <w:pPr>
      <w:numPr>
        <w:ilvl w:val="7"/>
      </w:numPr>
      <w:outlineLvl w:val="7"/>
    </w:pPr>
  </w:style>
  <w:style w:type="paragraph" w:styleId="Heading9">
    <w:name w:val="heading 9"/>
    <w:basedOn w:val="Heading8"/>
    <w:next w:val="Normal"/>
    <w:link w:val="Heading9Char"/>
    <w:qFormat/>
    <w:rsid w:val="004C09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basedOn w:val="DefaultParagraphFont"/>
    <w:link w:val="ListParagraph"/>
    <w:uiPriority w:val="34"/>
    <w:qFormat/>
    <w:locked/>
    <w:rsid w:val="00AF0BA6"/>
  </w:style>
  <w:style w:type="paragraph" w:styleId="ListParagraph">
    <w:name w:val="List Paragraph"/>
    <w:aliases w:val="Lista1,1st level - Bullet List Paragraph,List Paragraph1,Lettre d'introduction,Paragrafo elenco,Normal bullet 2,Bullet list,Numbered List,- Bullets,목록 단락,リスト段落,?? ??,?????,????,列出段落,Task Body,Viñetas (Inicio Parrafo),3 Txt tabla,목록 단"/>
    <w:basedOn w:val="Normal"/>
    <w:link w:val="ListParagraphChar"/>
    <w:uiPriority w:val="34"/>
    <w:qFormat/>
    <w:rsid w:val="00AF0BA6"/>
    <w:pPr>
      <w:spacing w:after="0" w:line="240" w:lineRule="auto"/>
      <w:ind w:left="720"/>
    </w:pPr>
  </w:style>
  <w:style w:type="character" w:customStyle="1" w:styleId="Heading1Char">
    <w:name w:val="Heading 1 Char"/>
    <w:basedOn w:val="DefaultParagraphFont"/>
    <w:link w:val="Heading1"/>
    <w:rsid w:val="004C09E6"/>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4C09E6"/>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4C09E6"/>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4C09E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4C09E6"/>
    <w:rPr>
      <w:rFonts w:ascii="Arial" w:eastAsia="Times New Roman" w:hAnsi="Arial" w:cs="Arial"/>
      <w:lang w:val="en-GB" w:eastAsia="zh-CN"/>
    </w:rPr>
  </w:style>
  <w:style w:type="character" w:customStyle="1" w:styleId="Heading6Char">
    <w:name w:val="Heading 6 Char"/>
    <w:basedOn w:val="DefaultParagraphFont"/>
    <w:link w:val="Heading6"/>
    <w:rsid w:val="004C09E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4C09E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4C09E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4C09E6"/>
    <w:rPr>
      <w:rFonts w:ascii="Arial" w:eastAsia="Times New Roman" w:hAnsi="Arial" w:cs="Arial"/>
      <w:sz w:val="20"/>
      <w:szCs w:val="20"/>
      <w:lang w:val="en-GB" w:eastAsia="zh-CN"/>
    </w:rPr>
  </w:style>
  <w:style w:type="paragraph" w:styleId="TOC1">
    <w:name w:val="toc 1"/>
    <w:aliases w:val="Observation TOC2"/>
    <w:uiPriority w:val="39"/>
    <w:rsid w:val="004C09E6"/>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Caption">
    <w:name w:val="caption"/>
    <w:basedOn w:val="Normal"/>
    <w:next w:val="Normal"/>
    <w:qFormat/>
    <w:rsid w:val="004C09E6"/>
    <w:pPr>
      <w:overflowPunct w:val="0"/>
      <w:autoSpaceDE w:val="0"/>
      <w:autoSpaceDN w:val="0"/>
      <w:adjustRightInd w:val="0"/>
      <w:spacing w:after="240" w:line="240" w:lineRule="auto"/>
      <w:jc w:val="center"/>
      <w:textAlignment w:val="baseline"/>
    </w:pPr>
    <w:rPr>
      <w:rFonts w:eastAsia="Times New Roman" w:cs="Times New Roman"/>
      <w:b/>
      <w:bCs/>
      <w:szCs w:val="20"/>
      <w:lang w:eastAsia="zh-CN"/>
    </w:rPr>
  </w:style>
  <w:style w:type="paragraph" w:customStyle="1" w:styleId="3GPPHeader">
    <w:name w:val="3GPP_Header"/>
    <w:basedOn w:val="Normal"/>
    <w:rsid w:val="004C09E6"/>
    <w:pPr>
      <w:tabs>
        <w:tab w:val="left" w:pos="1701"/>
        <w:tab w:val="right" w:pos="9639"/>
      </w:tabs>
      <w:overflowPunct w:val="0"/>
      <w:autoSpaceDE w:val="0"/>
      <w:autoSpaceDN w:val="0"/>
      <w:adjustRightInd w:val="0"/>
      <w:spacing w:after="240" w:line="240" w:lineRule="auto"/>
      <w:jc w:val="both"/>
      <w:textAlignment w:val="baseline"/>
    </w:pPr>
    <w:rPr>
      <w:rFonts w:eastAsia="Times New Roman" w:cs="Times New Roman"/>
      <w:b/>
      <w:sz w:val="24"/>
      <w:szCs w:val="20"/>
      <w:lang w:eastAsia="zh-CN"/>
    </w:rPr>
  </w:style>
  <w:style w:type="paragraph" w:customStyle="1" w:styleId="Reference">
    <w:name w:val="Reference"/>
    <w:basedOn w:val="Normal"/>
    <w:link w:val="ReferenceChar"/>
    <w:rsid w:val="004C09E6"/>
    <w:pPr>
      <w:numPr>
        <w:numId w:val="2"/>
      </w:numPr>
      <w:overflowPunct w:val="0"/>
      <w:autoSpaceDE w:val="0"/>
      <w:autoSpaceDN w:val="0"/>
      <w:adjustRightInd w:val="0"/>
      <w:spacing w:after="120" w:line="240" w:lineRule="auto"/>
      <w:jc w:val="both"/>
      <w:textAlignment w:val="baseline"/>
    </w:pPr>
    <w:rPr>
      <w:rFonts w:eastAsia="Times New Roman" w:cs="Times New Roman"/>
      <w:szCs w:val="20"/>
      <w:lang w:eastAsia="zh-CN"/>
    </w:rPr>
  </w:style>
  <w:style w:type="paragraph" w:styleId="BodyText">
    <w:name w:val="Body Text"/>
    <w:basedOn w:val="Normal"/>
    <w:link w:val="BodyTextChar"/>
    <w:rsid w:val="004C09E6"/>
    <w:pPr>
      <w:overflowPunct w:val="0"/>
      <w:autoSpaceDE w:val="0"/>
      <w:autoSpaceDN w:val="0"/>
      <w:adjustRightInd w:val="0"/>
      <w:spacing w:after="120" w:line="240" w:lineRule="auto"/>
      <w:jc w:val="both"/>
      <w:textAlignment w:val="baseline"/>
    </w:pPr>
    <w:rPr>
      <w:rFonts w:eastAsia="Times New Roman" w:cs="Times New Roman"/>
      <w:szCs w:val="20"/>
      <w:lang w:eastAsia="zh-CN"/>
    </w:rPr>
  </w:style>
  <w:style w:type="character" w:customStyle="1" w:styleId="BodyTextChar">
    <w:name w:val="Body Text Char"/>
    <w:basedOn w:val="DefaultParagraphFont"/>
    <w:link w:val="BodyText"/>
    <w:rsid w:val="004C09E6"/>
    <w:rPr>
      <w:rFonts w:ascii="Arial" w:eastAsia="Times New Roman" w:hAnsi="Arial" w:cs="Times New Roman"/>
      <w:sz w:val="20"/>
      <w:szCs w:val="20"/>
      <w:lang w:val="en-GB" w:eastAsia="zh-CN"/>
    </w:rPr>
  </w:style>
  <w:style w:type="paragraph" w:customStyle="1" w:styleId="Proposal">
    <w:name w:val="Proposal"/>
    <w:basedOn w:val="Normal"/>
    <w:qFormat/>
    <w:rsid w:val="004C09E6"/>
    <w:pPr>
      <w:numPr>
        <w:numId w:val="3"/>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Cs w:val="20"/>
      <w:lang w:eastAsia="zh-CN"/>
    </w:rPr>
  </w:style>
  <w:style w:type="paragraph" w:customStyle="1" w:styleId="Observation">
    <w:name w:val="Observation"/>
    <w:basedOn w:val="Proposal"/>
    <w:qFormat/>
    <w:rsid w:val="00EB68CE"/>
    <w:pPr>
      <w:numPr>
        <w:numId w:val="4"/>
      </w:numPr>
    </w:pPr>
  </w:style>
  <w:style w:type="paragraph" w:customStyle="1" w:styleId="Doc-text2">
    <w:name w:val="Doc-text2"/>
    <w:basedOn w:val="Normal"/>
    <w:link w:val="Doc-text2Char"/>
    <w:qFormat/>
    <w:rsid w:val="004C09E6"/>
    <w:pPr>
      <w:tabs>
        <w:tab w:val="left" w:pos="1622"/>
      </w:tabs>
      <w:spacing w:after="0" w:line="240" w:lineRule="auto"/>
      <w:ind w:left="1622" w:hanging="363"/>
    </w:pPr>
    <w:rPr>
      <w:rFonts w:eastAsia="MS Mincho" w:cs="Times New Roman"/>
      <w:szCs w:val="24"/>
      <w:lang w:eastAsia="en-GB"/>
    </w:rPr>
  </w:style>
  <w:style w:type="character" w:customStyle="1" w:styleId="Doc-text2Char">
    <w:name w:val="Doc-text2 Char"/>
    <w:link w:val="Doc-text2"/>
    <w:qFormat/>
    <w:rsid w:val="004C09E6"/>
    <w:rPr>
      <w:rFonts w:ascii="Arial" w:eastAsia="MS Mincho" w:hAnsi="Arial" w:cs="Times New Roman"/>
      <w:sz w:val="20"/>
      <w:szCs w:val="24"/>
      <w:lang w:val="en-GB" w:eastAsia="en-GB"/>
    </w:rPr>
  </w:style>
  <w:style w:type="character" w:customStyle="1" w:styleId="ReferenceChar">
    <w:name w:val="Reference Char"/>
    <w:link w:val="Reference"/>
    <w:locked/>
    <w:rsid w:val="004C09E6"/>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4C09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9E6"/>
    <w:rPr>
      <w:rFonts w:ascii="Segoe UI" w:hAnsi="Segoe UI" w:cs="Segoe UI"/>
      <w:sz w:val="18"/>
      <w:szCs w:val="18"/>
    </w:rPr>
  </w:style>
  <w:style w:type="paragraph" w:customStyle="1" w:styleId="B1">
    <w:name w:val="B1"/>
    <w:basedOn w:val="List"/>
    <w:link w:val="B1Char1"/>
    <w:qFormat/>
    <w:rsid w:val="000F096B"/>
    <w:pPr>
      <w:overflowPunct w:val="0"/>
      <w:autoSpaceDE w:val="0"/>
      <w:autoSpaceDN w:val="0"/>
      <w:adjustRightInd w:val="0"/>
      <w:spacing w:after="120" w:line="240" w:lineRule="auto"/>
      <w:ind w:left="568" w:hanging="284"/>
      <w:contextualSpacing w:val="0"/>
      <w:jc w:val="both"/>
      <w:textAlignment w:val="baseline"/>
    </w:pPr>
    <w:rPr>
      <w:rFonts w:ascii="Times New Roman" w:eastAsia="Times New Roman" w:hAnsi="Times New Roman" w:cs="Times New Roman"/>
      <w:szCs w:val="20"/>
      <w:lang w:eastAsia="zh-CN"/>
    </w:rPr>
  </w:style>
  <w:style w:type="paragraph" w:customStyle="1" w:styleId="B2">
    <w:name w:val="B2"/>
    <w:basedOn w:val="List2"/>
    <w:link w:val="B2Char"/>
    <w:qFormat/>
    <w:rsid w:val="000F096B"/>
    <w:pPr>
      <w:overflowPunct w:val="0"/>
      <w:autoSpaceDE w:val="0"/>
      <w:autoSpaceDN w:val="0"/>
      <w:adjustRightInd w:val="0"/>
      <w:spacing w:after="120" w:line="240" w:lineRule="auto"/>
      <w:ind w:left="851" w:hanging="284"/>
      <w:contextualSpacing w:val="0"/>
      <w:jc w:val="both"/>
      <w:textAlignment w:val="baseline"/>
    </w:pPr>
    <w:rPr>
      <w:rFonts w:ascii="Times New Roman" w:eastAsia="Times New Roman" w:hAnsi="Times New Roman" w:cs="Times New Roman"/>
      <w:szCs w:val="20"/>
      <w:lang w:eastAsia="ja-JP"/>
    </w:rPr>
  </w:style>
  <w:style w:type="paragraph" w:customStyle="1" w:styleId="B3">
    <w:name w:val="B3"/>
    <w:basedOn w:val="List3"/>
    <w:link w:val="B3Char2"/>
    <w:qFormat/>
    <w:rsid w:val="000F096B"/>
    <w:pPr>
      <w:overflowPunct w:val="0"/>
      <w:autoSpaceDE w:val="0"/>
      <w:autoSpaceDN w:val="0"/>
      <w:adjustRightInd w:val="0"/>
      <w:spacing w:after="120" w:line="240" w:lineRule="auto"/>
      <w:ind w:left="1135" w:hanging="284"/>
      <w:contextualSpacing w:val="0"/>
      <w:jc w:val="both"/>
      <w:textAlignment w:val="baseline"/>
    </w:pPr>
    <w:rPr>
      <w:rFonts w:ascii="Times New Roman" w:eastAsia="Times New Roman" w:hAnsi="Times New Roman" w:cs="Times New Roman"/>
      <w:szCs w:val="20"/>
      <w:lang w:eastAsia="ja-JP"/>
    </w:rPr>
  </w:style>
  <w:style w:type="paragraph" w:customStyle="1" w:styleId="B4">
    <w:name w:val="B4"/>
    <w:basedOn w:val="List4"/>
    <w:link w:val="B4Char"/>
    <w:rsid w:val="000F096B"/>
    <w:pPr>
      <w:overflowPunct w:val="0"/>
      <w:autoSpaceDE w:val="0"/>
      <w:autoSpaceDN w:val="0"/>
      <w:adjustRightInd w:val="0"/>
      <w:spacing w:after="120" w:line="240" w:lineRule="auto"/>
      <w:ind w:left="1418" w:hanging="284"/>
      <w:contextualSpacing w:val="0"/>
      <w:jc w:val="both"/>
      <w:textAlignment w:val="baseline"/>
    </w:pPr>
    <w:rPr>
      <w:rFonts w:ascii="Times New Roman" w:eastAsia="Times New Roman" w:hAnsi="Times New Roman" w:cs="Times New Roman"/>
      <w:szCs w:val="20"/>
      <w:lang w:eastAsia="ja-JP"/>
    </w:rPr>
  </w:style>
  <w:style w:type="character" w:customStyle="1" w:styleId="B1Char1">
    <w:name w:val="B1 Char1"/>
    <w:link w:val="B1"/>
    <w:qFormat/>
    <w:rsid w:val="000F096B"/>
    <w:rPr>
      <w:rFonts w:ascii="Times New Roman" w:eastAsia="Times New Roman" w:hAnsi="Times New Roman" w:cs="Times New Roman"/>
      <w:sz w:val="20"/>
      <w:szCs w:val="20"/>
      <w:lang w:val="en-GB" w:eastAsia="zh-CN"/>
    </w:rPr>
  </w:style>
  <w:style w:type="character" w:customStyle="1" w:styleId="B2Char">
    <w:name w:val="B2 Char"/>
    <w:link w:val="B2"/>
    <w:qFormat/>
    <w:rsid w:val="000F096B"/>
    <w:rPr>
      <w:rFonts w:ascii="Times New Roman" w:eastAsia="Times New Roman" w:hAnsi="Times New Roman" w:cs="Times New Roman"/>
      <w:sz w:val="20"/>
      <w:szCs w:val="20"/>
      <w:lang w:val="en-GB" w:eastAsia="ja-JP"/>
    </w:rPr>
  </w:style>
  <w:style w:type="character" w:customStyle="1" w:styleId="B3Char2">
    <w:name w:val="B3 Char2"/>
    <w:link w:val="B3"/>
    <w:qFormat/>
    <w:rsid w:val="000F096B"/>
    <w:rPr>
      <w:rFonts w:ascii="Times New Roman" w:eastAsia="Times New Roman" w:hAnsi="Times New Roman" w:cs="Times New Roman"/>
      <w:sz w:val="20"/>
      <w:szCs w:val="20"/>
      <w:lang w:val="en-GB" w:eastAsia="ja-JP"/>
    </w:rPr>
  </w:style>
  <w:style w:type="character" w:customStyle="1" w:styleId="B4Char">
    <w:name w:val="B4 Char"/>
    <w:link w:val="B4"/>
    <w:rsid w:val="000F096B"/>
    <w:rPr>
      <w:rFonts w:ascii="Times New Roman" w:eastAsia="Times New Roman" w:hAnsi="Times New Roman" w:cs="Times New Roman"/>
      <w:sz w:val="20"/>
      <w:szCs w:val="20"/>
      <w:lang w:val="en-GB" w:eastAsia="ja-JP"/>
    </w:rPr>
  </w:style>
  <w:style w:type="table" w:styleId="TableGrid">
    <w:name w:val="Table Grid"/>
    <w:basedOn w:val="TableNormal"/>
    <w:rsid w:val="000F096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0F096B"/>
    <w:pPr>
      <w:ind w:left="283" w:hanging="283"/>
      <w:contextualSpacing/>
    </w:pPr>
  </w:style>
  <w:style w:type="paragraph" w:styleId="List2">
    <w:name w:val="List 2"/>
    <w:basedOn w:val="Normal"/>
    <w:uiPriority w:val="99"/>
    <w:semiHidden/>
    <w:unhideWhenUsed/>
    <w:rsid w:val="000F096B"/>
    <w:pPr>
      <w:ind w:left="566" w:hanging="283"/>
      <w:contextualSpacing/>
    </w:pPr>
  </w:style>
  <w:style w:type="paragraph" w:styleId="List3">
    <w:name w:val="List 3"/>
    <w:basedOn w:val="Normal"/>
    <w:uiPriority w:val="99"/>
    <w:semiHidden/>
    <w:unhideWhenUsed/>
    <w:rsid w:val="000F096B"/>
    <w:pPr>
      <w:ind w:left="849" w:hanging="283"/>
      <w:contextualSpacing/>
    </w:pPr>
  </w:style>
  <w:style w:type="paragraph" w:styleId="List4">
    <w:name w:val="List 4"/>
    <w:basedOn w:val="Normal"/>
    <w:uiPriority w:val="99"/>
    <w:semiHidden/>
    <w:unhideWhenUsed/>
    <w:rsid w:val="000F096B"/>
    <w:pPr>
      <w:ind w:left="1132" w:hanging="283"/>
      <w:contextualSpacing/>
    </w:pPr>
  </w:style>
  <w:style w:type="paragraph" w:customStyle="1" w:styleId="TH">
    <w:name w:val="TH"/>
    <w:basedOn w:val="Normal"/>
    <w:link w:val="THChar"/>
    <w:qFormat/>
    <w:rsid w:val="006A6737"/>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rPr>
  </w:style>
  <w:style w:type="paragraph" w:customStyle="1" w:styleId="TF">
    <w:name w:val="TF"/>
    <w:aliases w:val="left"/>
    <w:basedOn w:val="TH"/>
    <w:link w:val="TFChar"/>
    <w:qFormat/>
    <w:rsid w:val="006A6737"/>
    <w:pPr>
      <w:keepNext w:val="0"/>
      <w:spacing w:before="0" w:after="240"/>
    </w:pPr>
  </w:style>
  <w:style w:type="paragraph" w:customStyle="1" w:styleId="Doc-title">
    <w:name w:val="Doc-title"/>
    <w:basedOn w:val="Normal"/>
    <w:next w:val="Doc-text2"/>
    <w:link w:val="Doc-titleChar"/>
    <w:qFormat/>
    <w:rsid w:val="006A6737"/>
    <w:pPr>
      <w:spacing w:before="60" w:after="0" w:line="240" w:lineRule="auto"/>
      <w:ind w:left="1259" w:hanging="1259"/>
    </w:pPr>
    <w:rPr>
      <w:rFonts w:eastAsia="MS Mincho" w:cs="Times New Roman"/>
      <w:noProof/>
      <w:szCs w:val="24"/>
      <w:lang w:eastAsia="en-GB"/>
    </w:rPr>
  </w:style>
  <w:style w:type="character" w:customStyle="1" w:styleId="Doc-titleChar">
    <w:name w:val="Doc-title Char"/>
    <w:link w:val="Doc-title"/>
    <w:rsid w:val="006A6737"/>
    <w:rPr>
      <w:rFonts w:ascii="Arial" w:eastAsia="MS Mincho" w:hAnsi="Arial" w:cs="Times New Roman"/>
      <w:noProof/>
      <w:sz w:val="20"/>
      <w:szCs w:val="24"/>
      <w:lang w:val="en-GB" w:eastAsia="en-GB"/>
    </w:rPr>
  </w:style>
  <w:style w:type="character" w:customStyle="1" w:styleId="TFChar">
    <w:name w:val="TF Char"/>
    <w:link w:val="TF"/>
    <w:qFormat/>
    <w:rsid w:val="006A6737"/>
    <w:rPr>
      <w:rFonts w:ascii="Arial" w:eastAsia="Times New Roman" w:hAnsi="Arial" w:cs="Times New Roman"/>
      <w:b/>
      <w:sz w:val="20"/>
      <w:szCs w:val="20"/>
      <w:lang w:val="en-GB"/>
    </w:rPr>
  </w:style>
  <w:style w:type="character" w:customStyle="1" w:styleId="THChar">
    <w:name w:val="TH Char"/>
    <w:link w:val="TH"/>
    <w:qFormat/>
    <w:rsid w:val="006A6737"/>
    <w:rPr>
      <w:rFonts w:ascii="Arial" w:eastAsia="Times New Roman" w:hAnsi="Arial" w:cs="Times New Roman"/>
      <w:b/>
      <w:sz w:val="20"/>
      <w:szCs w:val="20"/>
      <w:lang w:val="en-GB"/>
    </w:rPr>
  </w:style>
  <w:style w:type="paragraph" w:customStyle="1" w:styleId="xxbodytext">
    <w:name w:val="xx bodytext"/>
    <w:basedOn w:val="BodyText"/>
    <w:link w:val="xxbodytextChar"/>
    <w:rsid w:val="006A6737"/>
    <w:pPr>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 w:val="22"/>
      <w:szCs w:val="22"/>
      <w:lang w:val="en-US" w:eastAsia="en-US"/>
    </w:rPr>
  </w:style>
  <w:style w:type="character" w:customStyle="1" w:styleId="xxbodytextChar">
    <w:name w:val="xx bodytext Char"/>
    <w:basedOn w:val="DefaultParagraphFont"/>
    <w:link w:val="xxbodytext"/>
    <w:rsid w:val="006A6737"/>
    <w:rPr>
      <w:rFonts w:ascii="Arial" w:hAnsi="Arial"/>
      <w:spacing w:val="2"/>
      <w:lang w:val="en-US"/>
    </w:rPr>
  </w:style>
  <w:style w:type="paragraph" w:customStyle="1" w:styleId="paragraph">
    <w:name w:val="paragraph"/>
    <w:basedOn w:val="Normal"/>
    <w:rsid w:val="006A6737"/>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normaltextrun">
    <w:name w:val="normaltextrun"/>
    <w:basedOn w:val="DefaultParagraphFont"/>
    <w:rsid w:val="006A6737"/>
  </w:style>
  <w:style w:type="character" w:customStyle="1" w:styleId="eop">
    <w:name w:val="eop"/>
    <w:basedOn w:val="DefaultParagraphFont"/>
    <w:rsid w:val="006A6737"/>
  </w:style>
  <w:style w:type="character" w:styleId="CommentReference">
    <w:name w:val="annotation reference"/>
    <w:basedOn w:val="DefaultParagraphFont"/>
    <w:uiPriority w:val="99"/>
    <w:semiHidden/>
    <w:unhideWhenUsed/>
    <w:rsid w:val="00D40FD0"/>
    <w:rPr>
      <w:sz w:val="16"/>
      <w:szCs w:val="16"/>
    </w:rPr>
  </w:style>
  <w:style w:type="paragraph" w:styleId="CommentText">
    <w:name w:val="annotation text"/>
    <w:basedOn w:val="Normal"/>
    <w:link w:val="CommentTextChar"/>
    <w:uiPriority w:val="99"/>
    <w:unhideWhenUsed/>
    <w:rsid w:val="00D40FD0"/>
    <w:pPr>
      <w:spacing w:line="240" w:lineRule="auto"/>
    </w:pPr>
    <w:rPr>
      <w:szCs w:val="20"/>
    </w:rPr>
  </w:style>
  <w:style w:type="character" w:customStyle="1" w:styleId="CommentTextChar">
    <w:name w:val="Comment Text Char"/>
    <w:basedOn w:val="DefaultParagraphFont"/>
    <w:link w:val="CommentText"/>
    <w:uiPriority w:val="99"/>
    <w:rsid w:val="00D40FD0"/>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D40FD0"/>
    <w:rPr>
      <w:b/>
      <w:bCs/>
    </w:rPr>
  </w:style>
  <w:style w:type="character" w:customStyle="1" w:styleId="CommentSubjectChar">
    <w:name w:val="Comment Subject Char"/>
    <w:basedOn w:val="CommentTextChar"/>
    <w:link w:val="CommentSubject"/>
    <w:uiPriority w:val="99"/>
    <w:semiHidden/>
    <w:rsid w:val="00D40FD0"/>
    <w:rPr>
      <w:rFonts w:ascii="Arial" w:hAnsi="Arial"/>
      <w:b/>
      <w:bCs/>
      <w:sz w:val="20"/>
      <w:szCs w:val="20"/>
    </w:rPr>
  </w:style>
  <w:style w:type="character" w:customStyle="1" w:styleId="B1Char">
    <w:name w:val="B1 Char"/>
    <w:qFormat/>
    <w:rsid w:val="00DE695D"/>
    <w:rPr>
      <w:rFonts w:asciiTheme="minorHAnsi" w:eastAsiaTheme="minorHAnsi" w:hAnsiTheme="minorHAnsi" w:cstheme="minorBidi"/>
      <w:sz w:val="22"/>
      <w:szCs w:val="22"/>
      <w:lang w:val="sv-SE"/>
    </w:rPr>
  </w:style>
  <w:style w:type="character" w:customStyle="1" w:styleId="B3Char">
    <w:name w:val="B3 Char"/>
    <w:qFormat/>
    <w:rsid w:val="00DE695D"/>
    <w:rPr>
      <w:rFonts w:asciiTheme="minorHAnsi" w:eastAsiaTheme="minorHAnsi" w:hAnsiTheme="minorHAnsi" w:cstheme="minorBidi"/>
      <w:sz w:val="22"/>
      <w:szCs w:val="22"/>
      <w:lang w:val="sv-SE"/>
    </w:rPr>
  </w:style>
  <w:style w:type="paragraph" w:styleId="Revision">
    <w:name w:val="Revision"/>
    <w:hidden/>
    <w:uiPriority w:val="99"/>
    <w:semiHidden/>
    <w:rsid w:val="00FA32F6"/>
    <w:pPr>
      <w:spacing w:after="0" w:line="240" w:lineRule="auto"/>
    </w:pPr>
    <w:rPr>
      <w:rFonts w:ascii="Arial" w:hAnsi="Arial"/>
      <w:sz w:val="20"/>
    </w:rPr>
  </w:style>
  <w:style w:type="paragraph" w:customStyle="1" w:styleId="Comments">
    <w:name w:val="Comments"/>
    <w:basedOn w:val="Normal"/>
    <w:link w:val="CommentsChar"/>
    <w:qFormat/>
    <w:rsid w:val="00654E76"/>
    <w:pPr>
      <w:spacing w:before="40" w:after="0" w:line="240" w:lineRule="auto"/>
    </w:pPr>
    <w:rPr>
      <w:rFonts w:eastAsia="MS Mincho" w:cs="Times New Roman"/>
      <w:i/>
      <w:noProof/>
      <w:sz w:val="18"/>
      <w:szCs w:val="24"/>
      <w:lang w:eastAsia="en-GB"/>
    </w:rPr>
  </w:style>
  <w:style w:type="character" w:customStyle="1" w:styleId="CommentsChar">
    <w:name w:val="Comments Char"/>
    <w:link w:val="Comments"/>
    <w:qFormat/>
    <w:rsid w:val="00654E76"/>
    <w:rPr>
      <w:rFonts w:ascii="Arial" w:eastAsia="MS Mincho" w:hAnsi="Arial" w:cs="Times New Roman"/>
      <w:i/>
      <w:noProof/>
      <w:sz w:val="18"/>
      <w:szCs w:val="24"/>
      <w:lang w:val="en-GB" w:eastAsia="en-GB"/>
    </w:rPr>
  </w:style>
  <w:style w:type="character" w:styleId="Strong">
    <w:name w:val="Strong"/>
    <w:basedOn w:val="DefaultParagraphFont"/>
    <w:uiPriority w:val="22"/>
    <w:qFormat/>
    <w:rsid w:val="00654E76"/>
    <w:rPr>
      <w:b/>
      <w:bCs/>
    </w:rPr>
  </w:style>
  <w:style w:type="character" w:customStyle="1" w:styleId="TFZchn">
    <w:name w:val="TF Zchn"/>
    <w:locked/>
    <w:rsid w:val="0095289D"/>
    <w:rPr>
      <w:rFonts w:ascii="Arial" w:hAnsi="Arial" w:cs="Arial"/>
      <w:b/>
    </w:rPr>
  </w:style>
  <w:style w:type="paragraph" w:styleId="Header">
    <w:name w:val="header"/>
    <w:basedOn w:val="Normal"/>
    <w:link w:val="HeaderChar"/>
    <w:uiPriority w:val="99"/>
    <w:unhideWhenUsed/>
    <w:rsid w:val="00EB68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EB68CE"/>
    <w:rPr>
      <w:rFonts w:ascii="Arial" w:hAnsi="Arial"/>
      <w:sz w:val="20"/>
    </w:rPr>
  </w:style>
  <w:style w:type="paragraph" w:styleId="Footer">
    <w:name w:val="footer"/>
    <w:basedOn w:val="Normal"/>
    <w:link w:val="FooterChar"/>
    <w:uiPriority w:val="99"/>
    <w:unhideWhenUsed/>
    <w:rsid w:val="00EB68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EB68CE"/>
    <w:rPr>
      <w:rFonts w:ascii="Arial" w:hAnsi="Arial"/>
      <w:sz w:val="20"/>
    </w:rPr>
  </w:style>
  <w:style w:type="paragraph" w:customStyle="1" w:styleId="Doc-comment">
    <w:name w:val="Doc-comment"/>
    <w:basedOn w:val="Normal"/>
    <w:next w:val="Doc-text2"/>
    <w:qFormat/>
    <w:rsid w:val="00B65F8D"/>
    <w:pPr>
      <w:tabs>
        <w:tab w:val="left" w:pos="1622"/>
      </w:tabs>
      <w:spacing w:after="0" w:line="240" w:lineRule="auto"/>
      <w:ind w:left="1622" w:hanging="363"/>
    </w:pPr>
    <w:rPr>
      <w:rFonts w:eastAsia="MS Mincho" w:cs="Times New Roman"/>
      <w:i/>
      <w:szCs w:val="24"/>
      <w:lang w:eastAsia="en-GB"/>
    </w:rPr>
  </w:style>
  <w:style w:type="character" w:customStyle="1" w:styleId="apple-converted-space">
    <w:name w:val="apple-converted-space"/>
    <w:basedOn w:val="DefaultParagraphFont"/>
    <w:rsid w:val="00B65F8D"/>
  </w:style>
  <w:style w:type="character" w:customStyle="1" w:styleId="EmailDiscussionChar">
    <w:name w:val="EmailDiscussion Char"/>
    <w:link w:val="EmailDiscussion"/>
    <w:locked/>
    <w:rsid w:val="001E3283"/>
    <w:rPr>
      <w:rFonts w:ascii="Arial" w:eastAsia="MS Mincho" w:hAnsi="Arial" w:cs="Arial"/>
      <w:b/>
      <w:szCs w:val="24"/>
    </w:rPr>
  </w:style>
  <w:style w:type="paragraph" w:customStyle="1" w:styleId="EmailDiscussion2">
    <w:name w:val="EmailDiscussion2"/>
    <w:basedOn w:val="Normal"/>
    <w:qFormat/>
    <w:rsid w:val="001E3283"/>
    <w:pPr>
      <w:tabs>
        <w:tab w:val="left" w:pos="1622"/>
      </w:tabs>
      <w:spacing w:after="0" w:line="240" w:lineRule="auto"/>
      <w:ind w:left="1622" w:hanging="363"/>
    </w:pPr>
    <w:rPr>
      <w:rFonts w:eastAsia="MS Mincho" w:cs="Times New Roman"/>
      <w:szCs w:val="24"/>
      <w:lang w:eastAsia="en-GB"/>
    </w:rPr>
  </w:style>
  <w:style w:type="paragraph" w:customStyle="1" w:styleId="EmailDiscussion">
    <w:name w:val="EmailDiscussion"/>
    <w:basedOn w:val="Normal"/>
    <w:next w:val="EmailDiscussion2"/>
    <w:link w:val="EmailDiscussionChar"/>
    <w:qFormat/>
    <w:rsid w:val="001E3283"/>
    <w:pPr>
      <w:numPr>
        <w:numId w:val="10"/>
      </w:numPr>
      <w:spacing w:before="40" w:after="0" w:line="240" w:lineRule="auto"/>
    </w:pPr>
    <w:rPr>
      <w:rFonts w:eastAsia="MS Mincho" w:cs="Arial"/>
      <w:b/>
      <w:sz w:val="22"/>
      <w:szCs w:val="24"/>
    </w:rPr>
  </w:style>
  <w:style w:type="paragraph" w:customStyle="1" w:styleId="Agreement">
    <w:name w:val="Agreement"/>
    <w:basedOn w:val="Normal"/>
    <w:next w:val="Normal"/>
    <w:qFormat/>
    <w:rsid w:val="0023194D"/>
    <w:pPr>
      <w:numPr>
        <w:numId w:val="12"/>
      </w:numPr>
      <w:tabs>
        <w:tab w:val="num" w:pos="1619"/>
      </w:tabs>
      <w:overflowPunct w:val="0"/>
      <w:autoSpaceDE w:val="0"/>
      <w:autoSpaceDN w:val="0"/>
      <w:adjustRightInd w:val="0"/>
      <w:spacing w:before="60" w:after="0" w:line="240" w:lineRule="auto"/>
      <w:ind w:left="1616" w:hanging="357"/>
    </w:pPr>
    <w:rPr>
      <w:rFonts w:eastAsia="Times New Roman" w:cs="Times New Roman"/>
      <w:b/>
      <w:szCs w:val="20"/>
      <w:lang w:eastAsia="ja-JP"/>
    </w:rPr>
  </w:style>
  <w:style w:type="character" w:customStyle="1" w:styleId="NOChar">
    <w:name w:val="NO Char"/>
    <w:link w:val="NO"/>
    <w:qFormat/>
    <w:locked/>
    <w:rsid w:val="009B1127"/>
    <w:rPr>
      <w:lang w:val="en-GB"/>
    </w:rPr>
  </w:style>
  <w:style w:type="paragraph" w:customStyle="1" w:styleId="NO">
    <w:name w:val="NO"/>
    <w:basedOn w:val="Normal"/>
    <w:link w:val="NOChar"/>
    <w:qFormat/>
    <w:rsid w:val="009B1127"/>
    <w:pPr>
      <w:keepNext/>
      <w:spacing w:line="257" w:lineRule="auto"/>
      <w:ind w:left="851" w:hanging="851"/>
      <w:jc w:val="center"/>
    </w:pPr>
    <w:rPr>
      <w:rFonts w:asciiTheme="minorHAnsi" w:hAnsiTheme="minorHAnsi"/>
      <w:sz w:val="22"/>
    </w:rPr>
  </w:style>
  <w:style w:type="character" w:customStyle="1" w:styleId="B1Zchn">
    <w:name w:val="B1 Zchn"/>
    <w:rsid w:val="00F2403B"/>
  </w:style>
  <w:style w:type="paragraph" w:customStyle="1" w:styleId="DraftProposal">
    <w:name w:val="Draft Proposal"/>
    <w:basedOn w:val="BodyText"/>
    <w:next w:val="Normal"/>
    <w:uiPriority w:val="99"/>
    <w:qFormat/>
    <w:rsid w:val="00521A31"/>
    <w:pPr>
      <w:tabs>
        <w:tab w:val="num" w:pos="1304"/>
        <w:tab w:val="left" w:pos="1701"/>
      </w:tabs>
      <w:overflowPunct/>
      <w:autoSpaceDE/>
      <w:autoSpaceDN/>
      <w:adjustRightInd/>
      <w:spacing w:after="160" w:line="256" w:lineRule="auto"/>
      <w:ind w:left="1304" w:hanging="1304"/>
      <w:jc w:val="left"/>
      <w:textAlignment w:val="auto"/>
    </w:pPr>
    <w:rPr>
      <w:rFonts w:eastAsiaTheme="minorHAnsi" w:cstheme="minorBidi"/>
      <w:b/>
      <w:bCs/>
      <w:sz w:val="22"/>
      <w:szCs w:val="22"/>
      <w:lang w:eastAsia="en-US"/>
    </w:rPr>
  </w:style>
  <w:style w:type="paragraph" w:styleId="NormalWeb">
    <w:name w:val="Normal (Web)"/>
    <w:basedOn w:val="Normal"/>
    <w:uiPriority w:val="99"/>
    <w:semiHidden/>
    <w:unhideWhenUsed/>
    <w:rsid w:val="00AD29F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ditorsNoteChar">
    <w:name w:val="Editor's Note Char"/>
    <w:aliases w:val="EN Char"/>
    <w:link w:val="EditorsNote"/>
    <w:qFormat/>
    <w:locked/>
    <w:rsid w:val="007B7828"/>
    <w:rPr>
      <w:rFonts w:ascii="Times New Roman" w:eastAsia="Times New Roman" w:hAnsi="Times New Roman" w:cs="Times New Roman"/>
      <w:color w:val="FF0000"/>
    </w:rPr>
  </w:style>
  <w:style w:type="paragraph" w:customStyle="1" w:styleId="EditorsNote">
    <w:name w:val="Editor's Note"/>
    <w:basedOn w:val="Normal"/>
    <w:link w:val="EditorsNoteChar"/>
    <w:qFormat/>
    <w:rsid w:val="007B7828"/>
    <w:pPr>
      <w:keepLines/>
      <w:overflowPunct w:val="0"/>
      <w:autoSpaceDE w:val="0"/>
      <w:autoSpaceDN w:val="0"/>
      <w:adjustRightInd w:val="0"/>
      <w:spacing w:after="180" w:line="240" w:lineRule="auto"/>
      <w:ind w:left="1135" w:hanging="851"/>
    </w:pPr>
    <w:rPr>
      <w:rFonts w:ascii="Times New Roman" w:eastAsia="Times New Roman" w:hAnsi="Times New Roman" w:cs="Times New Roman"/>
      <w:color w:val="FF0000"/>
      <w:sz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1822">
      <w:bodyDiv w:val="1"/>
      <w:marLeft w:val="0"/>
      <w:marRight w:val="0"/>
      <w:marTop w:val="0"/>
      <w:marBottom w:val="0"/>
      <w:divBdr>
        <w:top w:val="none" w:sz="0" w:space="0" w:color="auto"/>
        <w:left w:val="none" w:sz="0" w:space="0" w:color="auto"/>
        <w:bottom w:val="none" w:sz="0" w:space="0" w:color="auto"/>
        <w:right w:val="none" w:sz="0" w:space="0" w:color="auto"/>
      </w:divBdr>
    </w:div>
    <w:div w:id="26760213">
      <w:bodyDiv w:val="1"/>
      <w:marLeft w:val="0"/>
      <w:marRight w:val="0"/>
      <w:marTop w:val="0"/>
      <w:marBottom w:val="0"/>
      <w:divBdr>
        <w:top w:val="none" w:sz="0" w:space="0" w:color="auto"/>
        <w:left w:val="none" w:sz="0" w:space="0" w:color="auto"/>
        <w:bottom w:val="none" w:sz="0" w:space="0" w:color="auto"/>
        <w:right w:val="none" w:sz="0" w:space="0" w:color="auto"/>
      </w:divBdr>
    </w:div>
    <w:div w:id="42753284">
      <w:bodyDiv w:val="1"/>
      <w:marLeft w:val="0"/>
      <w:marRight w:val="0"/>
      <w:marTop w:val="0"/>
      <w:marBottom w:val="0"/>
      <w:divBdr>
        <w:top w:val="none" w:sz="0" w:space="0" w:color="auto"/>
        <w:left w:val="none" w:sz="0" w:space="0" w:color="auto"/>
        <w:bottom w:val="none" w:sz="0" w:space="0" w:color="auto"/>
        <w:right w:val="none" w:sz="0" w:space="0" w:color="auto"/>
      </w:divBdr>
    </w:div>
    <w:div w:id="43256163">
      <w:bodyDiv w:val="1"/>
      <w:marLeft w:val="0"/>
      <w:marRight w:val="0"/>
      <w:marTop w:val="0"/>
      <w:marBottom w:val="0"/>
      <w:divBdr>
        <w:top w:val="none" w:sz="0" w:space="0" w:color="auto"/>
        <w:left w:val="none" w:sz="0" w:space="0" w:color="auto"/>
        <w:bottom w:val="none" w:sz="0" w:space="0" w:color="auto"/>
        <w:right w:val="none" w:sz="0" w:space="0" w:color="auto"/>
      </w:divBdr>
    </w:div>
    <w:div w:id="45614599">
      <w:bodyDiv w:val="1"/>
      <w:marLeft w:val="0"/>
      <w:marRight w:val="0"/>
      <w:marTop w:val="0"/>
      <w:marBottom w:val="0"/>
      <w:divBdr>
        <w:top w:val="none" w:sz="0" w:space="0" w:color="auto"/>
        <w:left w:val="none" w:sz="0" w:space="0" w:color="auto"/>
        <w:bottom w:val="none" w:sz="0" w:space="0" w:color="auto"/>
        <w:right w:val="none" w:sz="0" w:space="0" w:color="auto"/>
      </w:divBdr>
    </w:div>
    <w:div w:id="108163186">
      <w:bodyDiv w:val="1"/>
      <w:marLeft w:val="0"/>
      <w:marRight w:val="0"/>
      <w:marTop w:val="0"/>
      <w:marBottom w:val="0"/>
      <w:divBdr>
        <w:top w:val="none" w:sz="0" w:space="0" w:color="auto"/>
        <w:left w:val="none" w:sz="0" w:space="0" w:color="auto"/>
        <w:bottom w:val="none" w:sz="0" w:space="0" w:color="auto"/>
        <w:right w:val="none" w:sz="0" w:space="0" w:color="auto"/>
      </w:divBdr>
    </w:div>
    <w:div w:id="138378045">
      <w:bodyDiv w:val="1"/>
      <w:marLeft w:val="0"/>
      <w:marRight w:val="0"/>
      <w:marTop w:val="0"/>
      <w:marBottom w:val="0"/>
      <w:divBdr>
        <w:top w:val="none" w:sz="0" w:space="0" w:color="auto"/>
        <w:left w:val="none" w:sz="0" w:space="0" w:color="auto"/>
        <w:bottom w:val="none" w:sz="0" w:space="0" w:color="auto"/>
        <w:right w:val="none" w:sz="0" w:space="0" w:color="auto"/>
      </w:divBdr>
    </w:div>
    <w:div w:id="257491476">
      <w:bodyDiv w:val="1"/>
      <w:marLeft w:val="0"/>
      <w:marRight w:val="0"/>
      <w:marTop w:val="0"/>
      <w:marBottom w:val="0"/>
      <w:divBdr>
        <w:top w:val="none" w:sz="0" w:space="0" w:color="auto"/>
        <w:left w:val="none" w:sz="0" w:space="0" w:color="auto"/>
        <w:bottom w:val="none" w:sz="0" w:space="0" w:color="auto"/>
        <w:right w:val="none" w:sz="0" w:space="0" w:color="auto"/>
      </w:divBdr>
    </w:div>
    <w:div w:id="364791392">
      <w:bodyDiv w:val="1"/>
      <w:marLeft w:val="0"/>
      <w:marRight w:val="0"/>
      <w:marTop w:val="0"/>
      <w:marBottom w:val="0"/>
      <w:divBdr>
        <w:top w:val="none" w:sz="0" w:space="0" w:color="auto"/>
        <w:left w:val="none" w:sz="0" w:space="0" w:color="auto"/>
        <w:bottom w:val="none" w:sz="0" w:space="0" w:color="auto"/>
        <w:right w:val="none" w:sz="0" w:space="0" w:color="auto"/>
      </w:divBdr>
      <w:divsChild>
        <w:div w:id="777023329">
          <w:marLeft w:val="0"/>
          <w:marRight w:val="0"/>
          <w:marTop w:val="0"/>
          <w:marBottom w:val="0"/>
          <w:divBdr>
            <w:top w:val="none" w:sz="0" w:space="0" w:color="auto"/>
            <w:left w:val="none" w:sz="0" w:space="0" w:color="auto"/>
            <w:bottom w:val="none" w:sz="0" w:space="0" w:color="auto"/>
            <w:right w:val="none" w:sz="0" w:space="0" w:color="auto"/>
          </w:divBdr>
        </w:div>
        <w:div w:id="926352815">
          <w:marLeft w:val="0"/>
          <w:marRight w:val="0"/>
          <w:marTop w:val="0"/>
          <w:marBottom w:val="0"/>
          <w:divBdr>
            <w:top w:val="none" w:sz="0" w:space="0" w:color="auto"/>
            <w:left w:val="none" w:sz="0" w:space="0" w:color="auto"/>
            <w:bottom w:val="none" w:sz="0" w:space="0" w:color="auto"/>
            <w:right w:val="none" w:sz="0" w:space="0" w:color="auto"/>
          </w:divBdr>
        </w:div>
        <w:div w:id="1610619375">
          <w:marLeft w:val="0"/>
          <w:marRight w:val="0"/>
          <w:marTop w:val="0"/>
          <w:marBottom w:val="0"/>
          <w:divBdr>
            <w:top w:val="none" w:sz="0" w:space="0" w:color="auto"/>
            <w:left w:val="none" w:sz="0" w:space="0" w:color="auto"/>
            <w:bottom w:val="none" w:sz="0" w:space="0" w:color="auto"/>
            <w:right w:val="none" w:sz="0" w:space="0" w:color="auto"/>
          </w:divBdr>
        </w:div>
      </w:divsChild>
    </w:div>
    <w:div w:id="365955698">
      <w:bodyDiv w:val="1"/>
      <w:marLeft w:val="0"/>
      <w:marRight w:val="0"/>
      <w:marTop w:val="0"/>
      <w:marBottom w:val="0"/>
      <w:divBdr>
        <w:top w:val="none" w:sz="0" w:space="0" w:color="auto"/>
        <w:left w:val="none" w:sz="0" w:space="0" w:color="auto"/>
        <w:bottom w:val="none" w:sz="0" w:space="0" w:color="auto"/>
        <w:right w:val="none" w:sz="0" w:space="0" w:color="auto"/>
      </w:divBdr>
    </w:div>
    <w:div w:id="377779387">
      <w:bodyDiv w:val="1"/>
      <w:marLeft w:val="0"/>
      <w:marRight w:val="0"/>
      <w:marTop w:val="0"/>
      <w:marBottom w:val="0"/>
      <w:divBdr>
        <w:top w:val="none" w:sz="0" w:space="0" w:color="auto"/>
        <w:left w:val="none" w:sz="0" w:space="0" w:color="auto"/>
        <w:bottom w:val="none" w:sz="0" w:space="0" w:color="auto"/>
        <w:right w:val="none" w:sz="0" w:space="0" w:color="auto"/>
      </w:divBdr>
    </w:div>
    <w:div w:id="398870872">
      <w:bodyDiv w:val="1"/>
      <w:marLeft w:val="0"/>
      <w:marRight w:val="0"/>
      <w:marTop w:val="0"/>
      <w:marBottom w:val="0"/>
      <w:divBdr>
        <w:top w:val="none" w:sz="0" w:space="0" w:color="auto"/>
        <w:left w:val="none" w:sz="0" w:space="0" w:color="auto"/>
        <w:bottom w:val="none" w:sz="0" w:space="0" w:color="auto"/>
        <w:right w:val="none" w:sz="0" w:space="0" w:color="auto"/>
      </w:divBdr>
    </w:div>
    <w:div w:id="429086574">
      <w:bodyDiv w:val="1"/>
      <w:marLeft w:val="0"/>
      <w:marRight w:val="0"/>
      <w:marTop w:val="0"/>
      <w:marBottom w:val="0"/>
      <w:divBdr>
        <w:top w:val="none" w:sz="0" w:space="0" w:color="auto"/>
        <w:left w:val="none" w:sz="0" w:space="0" w:color="auto"/>
        <w:bottom w:val="none" w:sz="0" w:space="0" w:color="auto"/>
        <w:right w:val="none" w:sz="0" w:space="0" w:color="auto"/>
      </w:divBdr>
    </w:div>
    <w:div w:id="443770527">
      <w:bodyDiv w:val="1"/>
      <w:marLeft w:val="0"/>
      <w:marRight w:val="0"/>
      <w:marTop w:val="0"/>
      <w:marBottom w:val="0"/>
      <w:divBdr>
        <w:top w:val="none" w:sz="0" w:space="0" w:color="auto"/>
        <w:left w:val="none" w:sz="0" w:space="0" w:color="auto"/>
        <w:bottom w:val="none" w:sz="0" w:space="0" w:color="auto"/>
        <w:right w:val="none" w:sz="0" w:space="0" w:color="auto"/>
      </w:divBdr>
    </w:div>
    <w:div w:id="486166863">
      <w:bodyDiv w:val="1"/>
      <w:marLeft w:val="0"/>
      <w:marRight w:val="0"/>
      <w:marTop w:val="0"/>
      <w:marBottom w:val="0"/>
      <w:divBdr>
        <w:top w:val="none" w:sz="0" w:space="0" w:color="auto"/>
        <w:left w:val="none" w:sz="0" w:space="0" w:color="auto"/>
        <w:bottom w:val="none" w:sz="0" w:space="0" w:color="auto"/>
        <w:right w:val="none" w:sz="0" w:space="0" w:color="auto"/>
      </w:divBdr>
    </w:div>
    <w:div w:id="500202877">
      <w:bodyDiv w:val="1"/>
      <w:marLeft w:val="0"/>
      <w:marRight w:val="0"/>
      <w:marTop w:val="0"/>
      <w:marBottom w:val="0"/>
      <w:divBdr>
        <w:top w:val="none" w:sz="0" w:space="0" w:color="auto"/>
        <w:left w:val="none" w:sz="0" w:space="0" w:color="auto"/>
        <w:bottom w:val="none" w:sz="0" w:space="0" w:color="auto"/>
        <w:right w:val="none" w:sz="0" w:space="0" w:color="auto"/>
      </w:divBdr>
    </w:div>
    <w:div w:id="522061311">
      <w:bodyDiv w:val="1"/>
      <w:marLeft w:val="0"/>
      <w:marRight w:val="0"/>
      <w:marTop w:val="0"/>
      <w:marBottom w:val="0"/>
      <w:divBdr>
        <w:top w:val="none" w:sz="0" w:space="0" w:color="auto"/>
        <w:left w:val="none" w:sz="0" w:space="0" w:color="auto"/>
        <w:bottom w:val="none" w:sz="0" w:space="0" w:color="auto"/>
        <w:right w:val="none" w:sz="0" w:space="0" w:color="auto"/>
      </w:divBdr>
      <w:divsChild>
        <w:div w:id="84153037">
          <w:marLeft w:val="1080"/>
          <w:marRight w:val="0"/>
          <w:marTop w:val="60"/>
          <w:marBottom w:val="0"/>
          <w:divBdr>
            <w:top w:val="none" w:sz="0" w:space="0" w:color="auto"/>
            <w:left w:val="none" w:sz="0" w:space="0" w:color="auto"/>
            <w:bottom w:val="none" w:sz="0" w:space="0" w:color="auto"/>
            <w:right w:val="none" w:sz="0" w:space="0" w:color="auto"/>
          </w:divBdr>
        </w:div>
        <w:div w:id="85002696">
          <w:marLeft w:val="547"/>
          <w:marRight w:val="0"/>
          <w:marTop w:val="60"/>
          <w:marBottom w:val="0"/>
          <w:divBdr>
            <w:top w:val="none" w:sz="0" w:space="0" w:color="auto"/>
            <w:left w:val="none" w:sz="0" w:space="0" w:color="auto"/>
            <w:bottom w:val="none" w:sz="0" w:space="0" w:color="auto"/>
            <w:right w:val="none" w:sz="0" w:space="0" w:color="auto"/>
          </w:divBdr>
        </w:div>
        <w:div w:id="117988305">
          <w:marLeft w:val="1080"/>
          <w:marRight w:val="0"/>
          <w:marTop w:val="60"/>
          <w:marBottom w:val="0"/>
          <w:divBdr>
            <w:top w:val="none" w:sz="0" w:space="0" w:color="auto"/>
            <w:left w:val="none" w:sz="0" w:space="0" w:color="auto"/>
            <w:bottom w:val="none" w:sz="0" w:space="0" w:color="auto"/>
            <w:right w:val="none" w:sz="0" w:space="0" w:color="auto"/>
          </w:divBdr>
        </w:div>
        <w:div w:id="620379739">
          <w:marLeft w:val="1627"/>
          <w:marRight w:val="0"/>
          <w:marTop w:val="60"/>
          <w:marBottom w:val="0"/>
          <w:divBdr>
            <w:top w:val="none" w:sz="0" w:space="0" w:color="auto"/>
            <w:left w:val="none" w:sz="0" w:space="0" w:color="auto"/>
            <w:bottom w:val="none" w:sz="0" w:space="0" w:color="auto"/>
            <w:right w:val="none" w:sz="0" w:space="0" w:color="auto"/>
          </w:divBdr>
        </w:div>
        <w:div w:id="728309231">
          <w:marLeft w:val="547"/>
          <w:marRight w:val="0"/>
          <w:marTop w:val="60"/>
          <w:marBottom w:val="0"/>
          <w:divBdr>
            <w:top w:val="none" w:sz="0" w:space="0" w:color="auto"/>
            <w:left w:val="none" w:sz="0" w:space="0" w:color="auto"/>
            <w:bottom w:val="none" w:sz="0" w:space="0" w:color="auto"/>
            <w:right w:val="none" w:sz="0" w:space="0" w:color="auto"/>
          </w:divBdr>
        </w:div>
        <w:div w:id="788357086">
          <w:marLeft w:val="1080"/>
          <w:marRight w:val="0"/>
          <w:marTop w:val="60"/>
          <w:marBottom w:val="0"/>
          <w:divBdr>
            <w:top w:val="none" w:sz="0" w:space="0" w:color="auto"/>
            <w:left w:val="none" w:sz="0" w:space="0" w:color="auto"/>
            <w:bottom w:val="none" w:sz="0" w:space="0" w:color="auto"/>
            <w:right w:val="none" w:sz="0" w:space="0" w:color="auto"/>
          </w:divBdr>
        </w:div>
        <w:div w:id="961110310">
          <w:marLeft w:val="1627"/>
          <w:marRight w:val="0"/>
          <w:marTop w:val="60"/>
          <w:marBottom w:val="0"/>
          <w:divBdr>
            <w:top w:val="none" w:sz="0" w:space="0" w:color="auto"/>
            <w:left w:val="none" w:sz="0" w:space="0" w:color="auto"/>
            <w:bottom w:val="none" w:sz="0" w:space="0" w:color="auto"/>
            <w:right w:val="none" w:sz="0" w:space="0" w:color="auto"/>
          </w:divBdr>
        </w:div>
        <w:div w:id="1042096960">
          <w:marLeft w:val="1080"/>
          <w:marRight w:val="0"/>
          <w:marTop w:val="60"/>
          <w:marBottom w:val="0"/>
          <w:divBdr>
            <w:top w:val="none" w:sz="0" w:space="0" w:color="auto"/>
            <w:left w:val="none" w:sz="0" w:space="0" w:color="auto"/>
            <w:bottom w:val="none" w:sz="0" w:space="0" w:color="auto"/>
            <w:right w:val="none" w:sz="0" w:space="0" w:color="auto"/>
          </w:divBdr>
        </w:div>
        <w:div w:id="1083331762">
          <w:marLeft w:val="1080"/>
          <w:marRight w:val="0"/>
          <w:marTop w:val="60"/>
          <w:marBottom w:val="0"/>
          <w:divBdr>
            <w:top w:val="none" w:sz="0" w:space="0" w:color="auto"/>
            <w:left w:val="none" w:sz="0" w:space="0" w:color="auto"/>
            <w:bottom w:val="none" w:sz="0" w:space="0" w:color="auto"/>
            <w:right w:val="none" w:sz="0" w:space="0" w:color="auto"/>
          </w:divBdr>
        </w:div>
        <w:div w:id="1206720756">
          <w:marLeft w:val="1080"/>
          <w:marRight w:val="0"/>
          <w:marTop w:val="60"/>
          <w:marBottom w:val="0"/>
          <w:divBdr>
            <w:top w:val="none" w:sz="0" w:space="0" w:color="auto"/>
            <w:left w:val="none" w:sz="0" w:space="0" w:color="auto"/>
            <w:bottom w:val="none" w:sz="0" w:space="0" w:color="auto"/>
            <w:right w:val="none" w:sz="0" w:space="0" w:color="auto"/>
          </w:divBdr>
        </w:div>
        <w:div w:id="1276710157">
          <w:marLeft w:val="1627"/>
          <w:marRight w:val="0"/>
          <w:marTop w:val="60"/>
          <w:marBottom w:val="0"/>
          <w:divBdr>
            <w:top w:val="none" w:sz="0" w:space="0" w:color="auto"/>
            <w:left w:val="none" w:sz="0" w:space="0" w:color="auto"/>
            <w:bottom w:val="none" w:sz="0" w:space="0" w:color="auto"/>
            <w:right w:val="none" w:sz="0" w:space="0" w:color="auto"/>
          </w:divBdr>
        </w:div>
        <w:div w:id="1328748362">
          <w:marLeft w:val="547"/>
          <w:marRight w:val="0"/>
          <w:marTop w:val="60"/>
          <w:marBottom w:val="0"/>
          <w:divBdr>
            <w:top w:val="none" w:sz="0" w:space="0" w:color="auto"/>
            <w:left w:val="none" w:sz="0" w:space="0" w:color="auto"/>
            <w:bottom w:val="none" w:sz="0" w:space="0" w:color="auto"/>
            <w:right w:val="none" w:sz="0" w:space="0" w:color="auto"/>
          </w:divBdr>
        </w:div>
        <w:div w:id="1382945274">
          <w:marLeft w:val="1080"/>
          <w:marRight w:val="0"/>
          <w:marTop w:val="60"/>
          <w:marBottom w:val="0"/>
          <w:divBdr>
            <w:top w:val="none" w:sz="0" w:space="0" w:color="auto"/>
            <w:left w:val="none" w:sz="0" w:space="0" w:color="auto"/>
            <w:bottom w:val="none" w:sz="0" w:space="0" w:color="auto"/>
            <w:right w:val="none" w:sz="0" w:space="0" w:color="auto"/>
          </w:divBdr>
        </w:div>
        <w:div w:id="1404835479">
          <w:marLeft w:val="1627"/>
          <w:marRight w:val="0"/>
          <w:marTop w:val="60"/>
          <w:marBottom w:val="0"/>
          <w:divBdr>
            <w:top w:val="none" w:sz="0" w:space="0" w:color="auto"/>
            <w:left w:val="none" w:sz="0" w:space="0" w:color="auto"/>
            <w:bottom w:val="none" w:sz="0" w:space="0" w:color="auto"/>
            <w:right w:val="none" w:sz="0" w:space="0" w:color="auto"/>
          </w:divBdr>
        </w:div>
        <w:div w:id="1489859239">
          <w:marLeft w:val="1080"/>
          <w:marRight w:val="0"/>
          <w:marTop w:val="60"/>
          <w:marBottom w:val="0"/>
          <w:divBdr>
            <w:top w:val="none" w:sz="0" w:space="0" w:color="auto"/>
            <w:left w:val="none" w:sz="0" w:space="0" w:color="auto"/>
            <w:bottom w:val="none" w:sz="0" w:space="0" w:color="auto"/>
            <w:right w:val="none" w:sz="0" w:space="0" w:color="auto"/>
          </w:divBdr>
        </w:div>
        <w:div w:id="1511404731">
          <w:marLeft w:val="1627"/>
          <w:marRight w:val="0"/>
          <w:marTop w:val="60"/>
          <w:marBottom w:val="0"/>
          <w:divBdr>
            <w:top w:val="none" w:sz="0" w:space="0" w:color="auto"/>
            <w:left w:val="none" w:sz="0" w:space="0" w:color="auto"/>
            <w:bottom w:val="none" w:sz="0" w:space="0" w:color="auto"/>
            <w:right w:val="none" w:sz="0" w:space="0" w:color="auto"/>
          </w:divBdr>
        </w:div>
        <w:div w:id="1552380379">
          <w:marLeft w:val="1080"/>
          <w:marRight w:val="0"/>
          <w:marTop w:val="60"/>
          <w:marBottom w:val="0"/>
          <w:divBdr>
            <w:top w:val="none" w:sz="0" w:space="0" w:color="auto"/>
            <w:left w:val="none" w:sz="0" w:space="0" w:color="auto"/>
            <w:bottom w:val="none" w:sz="0" w:space="0" w:color="auto"/>
            <w:right w:val="none" w:sz="0" w:space="0" w:color="auto"/>
          </w:divBdr>
        </w:div>
        <w:div w:id="1558660926">
          <w:marLeft w:val="1080"/>
          <w:marRight w:val="0"/>
          <w:marTop w:val="60"/>
          <w:marBottom w:val="0"/>
          <w:divBdr>
            <w:top w:val="none" w:sz="0" w:space="0" w:color="auto"/>
            <w:left w:val="none" w:sz="0" w:space="0" w:color="auto"/>
            <w:bottom w:val="none" w:sz="0" w:space="0" w:color="auto"/>
            <w:right w:val="none" w:sz="0" w:space="0" w:color="auto"/>
          </w:divBdr>
        </w:div>
        <w:div w:id="2050717629">
          <w:marLeft w:val="547"/>
          <w:marRight w:val="0"/>
          <w:marTop w:val="60"/>
          <w:marBottom w:val="0"/>
          <w:divBdr>
            <w:top w:val="none" w:sz="0" w:space="0" w:color="auto"/>
            <w:left w:val="none" w:sz="0" w:space="0" w:color="auto"/>
            <w:bottom w:val="none" w:sz="0" w:space="0" w:color="auto"/>
            <w:right w:val="none" w:sz="0" w:space="0" w:color="auto"/>
          </w:divBdr>
        </w:div>
      </w:divsChild>
    </w:div>
    <w:div w:id="718433508">
      <w:bodyDiv w:val="1"/>
      <w:marLeft w:val="0"/>
      <w:marRight w:val="0"/>
      <w:marTop w:val="0"/>
      <w:marBottom w:val="0"/>
      <w:divBdr>
        <w:top w:val="none" w:sz="0" w:space="0" w:color="auto"/>
        <w:left w:val="none" w:sz="0" w:space="0" w:color="auto"/>
        <w:bottom w:val="none" w:sz="0" w:space="0" w:color="auto"/>
        <w:right w:val="none" w:sz="0" w:space="0" w:color="auto"/>
      </w:divBdr>
    </w:div>
    <w:div w:id="832835857">
      <w:bodyDiv w:val="1"/>
      <w:marLeft w:val="0"/>
      <w:marRight w:val="0"/>
      <w:marTop w:val="0"/>
      <w:marBottom w:val="0"/>
      <w:divBdr>
        <w:top w:val="none" w:sz="0" w:space="0" w:color="auto"/>
        <w:left w:val="none" w:sz="0" w:space="0" w:color="auto"/>
        <w:bottom w:val="none" w:sz="0" w:space="0" w:color="auto"/>
        <w:right w:val="none" w:sz="0" w:space="0" w:color="auto"/>
      </w:divBdr>
    </w:div>
    <w:div w:id="862323209">
      <w:bodyDiv w:val="1"/>
      <w:marLeft w:val="0"/>
      <w:marRight w:val="0"/>
      <w:marTop w:val="0"/>
      <w:marBottom w:val="0"/>
      <w:divBdr>
        <w:top w:val="none" w:sz="0" w:space="0" w:color="auto"/>
        <w:left w:val="none" w:sz="0" w:space="0" w:color="auto"/>
        <w:bottom w:val="none" w:sz="0" w:space="0" w:color="auto"/>
        <w:right w:val="none" w:sz="0" w:space="0" w:color="auto"/>
      </w:divBdr>
    </w:div>
    <w:div w:id="933635143">
      <w:bodyDiv w:val="1"/>
      <w:marLeft w:val="0"/>
      <w:marRight w:val="0"/>
      <w:marTop w:val="0"/>
      <w:marBottom w:val="0"/>
      <w:divBdr>
        <w:top w:val="none" w:sz="0" w:space="0" w:color="auto"/>
        <w:left w:val="none" w:sz="0" w:space="0" w:color="auto"/>
        <w:bottom w:val="none" w:sz="0" w:space="0" w:color="auto"/>
        <w:right w:val="none" w:sz="0" w:space="0" w:color="auto"/>
      </w:divBdr>
    </w:div>
    <w:div w:id="954868424">
      <w:bodyDiv w:val="1"/>
      <w:marLeft w:val="0"/>
      <w:marRight w:val="0"/>
      <w:marTop w:val="0"/>
      <w:marBottom w:val="0"/>
      <w:divBdr>
        <w:top w:val="none" w:sz="0" w:space="0" w:color="auto"/>
        <w:left w:val="none" w:sz="0" w:space="0" w:color="auto"/>
        <w:bottom w:val="none" w:sz="0" w:space="0" w:color="auto"/>
        <w:right w:val="none" w:sz="0" w:space="0" w:color="auto"/>
      </w:divBdr>
    </w:div>
    <w:div w:id="956448579">
      <w:bodyDiv w:val="1"/>
      <w:marLeft w:val="0"/>
      <w:marRight w:val="0"/>
      <w:marTop w:val="0"/>
      <w:marBottom w:val="0"/>
      <w:divBdr>
        <w:top w:val="none" w:sz="0" w:space="0" w:color="auto"/>
        <w:left w:val="none" w:sz="0" w:space="0" w:color="auto"/>
        <w:bottom w:val="none" w:sz="0" w:space="0" w:color="auto"/>
        <w:right w:val="none" w:sz="0" w:space="0" w:color="auto"/>
      </w:divBdr>
    </w:div>
    <w:div w:id="1052386063">
      <w:bodyDiv w:val="1"/>
      <w:marLeft w:val="0"/>
      <w:marRight w:val="0"/>
      <w:marTop w:val="0"/>
      <w:marBottom w:val="0"/>
      <w:divBdr>
        <w:top w:val="none" w:sz="0" w:space="0" w:color="auto"/>
        <w:left w:val="none" w:sz="0" w:space="0" w:color="auto"/>
        <w:bottom w:val="none" w:sz="0" w:space="0" w:color="auto"/>
        <w:right w:val="none" w:sz="0" w:space="0" w:color="auto"/>
      </w:divBdr>
    </w:div>
    <w:div w:id="1080903750">
      <w:bodyDiv w:val="1"/>
      <w:marLeft w:val="0"/>
      <w:marRight w:val="0"/>
      <w:marTop w:val="0"/>
      <w:marBottom w:val="0"/>
      <w:divBdr>
        <w:top w:val="none" w:sz="0" w:space="0" w:color="auto"/>
        <w:left w:val="none" w:sz="0" w:space="0" w:color="auto"/>
        <w:bottom w:val="none" w:sz="0" w:space="0" w:color="auto"/>
        <w:right w:val="none" w:sz="0" w:space="0" w:color="auto"/>
      </w:divBdr>
    </w:div>
    <w:div w:id="1106776083">
      <w:bodyDiv w:val="1"/>
      <w:marLeft w:val="0"/>
      <w:marRight w:val="0"/>
      <w:marTop w:val="0"/>
      <w:marBottom w:val="0"/>
      <w:divBdr>
        <w:top w:val="none" w:sz="0" w:space="0" w:color="auto"/>
        <w:left w:val="none" w:sz="0" w:space="0" w:color="auto"/>
        <w:bottom w:val="none" w:sz="0" w:space="0" w:color="auto"/>
        <w:right w:val="none" w:sz="0" w:space="0" w:color="auto"/>
      </w:divBdr>
    </w:div>
    <w:div w:id="1163542596">
      <w:bodyDiv w:val="1"/>
      <w:marLeft w:val="0"/>
      <w:marRight w:val="0"/>
      <w:marTop w:val="0"/>
      <w:marBottom w:val="0"/>
      <w:divBdr>
        <w:top w:val="none" w:sz="0" w:space="0" w:color="auto"/>
        <w:left w:val="none" w:sz="0" w:space="0" w:color="auto"/>
        <w:bottom w:val="none" w:sz="0" w:space="0" w:color="auto"/>
        <w:right w:val="none" w:sz="0" w:space="0" w:color="auto"/>
      </w:divBdr>
    </w:div>
    <w:div w:id="1262572634">
      <w:bodyDiv w:val="1"/>
      <w:marLeft w:val="0"/>
      <w:marRight w:val="0"/>
      <w:marTop w:val="0"/>
      <w:marBottom w:val="0"/>
      <w:divBdr>
        <w:top w:val="none" w:sz="0" w:space="0" w:color="auto"/>
        <w:left w:val="none" w:sz="0" w:space="0" w:color="auto"/>
        <w:bottom w:val="none" w:sz="0" w:space="0" w:color="auto"/>
        <w:right w:val="none" w:sz="0" w:space="0" w:color="auto"/>
      </w:divBdr>
    </w:div>
    <w:div w:id="1310091696">
      <w:bodyDiv w:val="1"/>
      <w:marLeft w:val="0"/>
      <w:marRight w:val="0"/>
      <w:marTop w:val="0"/>
      <w:marBottom w:val="0"/>
      <w:divBdr>
        <w:top w:val="none" w:sz="0" w:space="0" w:color="auto"/>
        <w:left w:val="none" w:sz="0" w:space="0" w:color="auto"/>
        <w:bottom w:val="none" w:sz="0" w:space="0" w:color="auto"/>
        <w:right w:val="none" w:sz="0" w:space="0" w:color="auto"/>
      </w:divBdr>
    </w:div>
    <w:div w:id="1378046649">
      <w:bodyDiv w:val="1"/>
      <w:marLeft w:val="0"/>
      <w:marRight w:val="0"/>
      <w:marTop w:val="0"/>
      <w:marBottom w:val="0"/>
      <w:divBdr>
        <w:top w:val="none" w:sz="0" w:space="0" w:color="auto"/>
        <w:left w:val="none" w:sz="0" w:space="0" w:color="auto"/>
        <w:bottom w:val="none" w:sz="0" w:space="0" w:color="auto"/>
        <w:right w:val="none" w:sz="0" w:space="0" w:color="auto"/>
      </w:divBdr>
    </w:div>
    <w:div w:id="1403018086">
      <w:bodyDiv w:val="1"/>
      <w:marLeft w:val="0"/>
      <w:marRight w:val="0"/>
      <w:marTop w:val="0"/>
      <w:marBottom w:val="0"/>
      <w:divBdr>
        <w:top w:val="none" w:sz="0" w:space="0" w:color="auto"/>
        <w:left w:val="none" w:sz="0" w:space="0" w:color="auto"/>
        <w:bottom w:val="none" w:sz="0" w:space="0" w:color="auto"/>
        <w:right w:val="none" w:sz="0" w:space="0" w:color="auto"/>
      </w:divBdr>
    </w:div>
    <w:div w:id="1500122478">
      <w:bodyDiv w:val="1"/>
      <w:marLeft w:val="0"/>
      <w:marRight w:val="0"/>
      <w:marTop w:val="0"/>
      <w:marBottom w:val="0"/>
      <w:divBdr>
        <w:top w:val="none" w:sz="0" w:space="0" w:color="auto"/>
        <w:left w:val="none" w:sz="0" w:space="0" w:color="auto"/>
        <w:bottom w:val="none" w:sz="0" w:space="0" w:color="auto"/>
        <w:right w:val="none" w:sz="0" w:space="0" w:color="auto"/>
      </w:divBdr>
    </w:div>
    <w:div w:id="1534927048">
      <w:bodyDiv w:val="1"/>
      <w:marLeft w:val="0"/>
      <w:marRight w:val="0"/>
      <w:marTop w:val="0"/>
      <w:marBottom w:val="0"/>
      <w:divBdr>
        <w:top w:val="none" w:sz="0" w:space="0" w:color="auto"/>
        <w:left w:val="none" w:sz="0" w:space="0" w:color="auto"/>
        <w:bottom w:val="none" w:sz="0" w:space="0" w:color="auto"/>
        <w:right w:val="none" w:sz="0" w:space="0" w:color="auto"/>
      </w:divBdr>
      <w:divsChild>
        <w:div w:id="157772213">
          <w:marLeft w:val="0"/>
          <w:marRight w:val="0"/>
          <w:marTop w:val="0"/>
          <w:marBottom w:val="0"/>
          <w:divBdr>
            <w:top w:val="none" w:sz="0" w:space="0" w:color="auto"/>
            <w:left w:val="none" w:sz="0" w:space="0" w:color="auto"/>
            <w:bottom w:val="none" w:sz="0" w:space="0" w:color="auto"/>
            <w:right w:val="none" w:sz="0" w:space="0" w:color="auto"/>
          </w:divBdr>
        </w:div>
        <w:div w:id="1354571017">
          <w:marLeft w:val="0"/>
          <w:marRight w:val="0"/>
          <w:marTop w:val="0"/>
          <w:marBottom w:val="0"/>
          <w:divBdr>
            <w:top w:val="none" w:sz="0" w:space="0" w:color="auto"/>
            <w:left w:val="none" w:sz="0" w:space="0" w:color="auto"/>
            <w:bottom w:val="none" w:sz="0" w:space="0" w:color="auto"/>
            <w:right w:val="none" w:sz="0" w:space="0" w:color="auto"/>
          </w:divBdr>
        </w:div>
        <w:div w:id="1584796213">
          <w:marLeft w:val="0"/>
          <w:marRight w:val="0"/>
          <w:marTop w:val="0"/>
          <w:marBottom w:val="0"/>
          <w:divBdr>
            <w:top w:val="none" w:sz="0" w:space="0" w:color="auto"/>
            <w:left w:val="none" w:sz="0" w:space="0" w:color="auto"/>
            <w:bottom w:val="none" w:sz="0" w:space="0" w:color="auto"/>
            <w:right w:val="none" w:sz="0" w:space="0" w:color="auto"/>
          </w:divBdr>
        </w:div>
      </w:divsChild>
    </w:div>
    <w:div w:id="1562250288">
      <w:bodyDiv w:val="1"/>
      <w:marLeft w:val="0"/>
      <w:marRight w:val="0"/>
      <w:marTop w:val="0"/>
      <w:marBottom w:val="0"/>
      <w:divBdr>
        <w:top w:val="none" w:sz="0" w:space="0" w:color="auto"/>
        <w:left w:val="none" w:sz="0" w:space="0" w:color="auto"/>
        <w:bottom w:val="none" w:sz="0" w:space="0" w:color="auto"/>
        <w:right w:val="none" w:sz="0" w:space="0" w:color="auto"/>
      </w:divBdr>
    </w:div>
    <w:div w:id="1581985051">
      <w:bodyDiv w:val="1"/>
      <w:marLeft w:val="0"/>
      <w:marRight w:val="0"/>
      <w:marTop w:val="0"/>
      <w:marBottom w:val="0"/>
      <w:divBdr>
        <w:top w:val="none" w:sz="0" w:space="0" w:color="auto"/>
        <w:left w:val="none" w:sz="0" w:space="0" w:color="auto"/>
        <w:bottom w:val="none" w:sz="0" w:space="0" w:color="auto"/>
        <w:right w:val="none" w:sz="0" w:space="0" w:color="auto"/>
      </w:divBdr>
    </w:div>
    <w:div w:id="1587305375">
      <w:bodyDiv w:val="1"/>
      <w:marLeft w:val="0"/>
      <w:marRight w:val="0"/>
      <w:marTop w:val="0"/>
      <w:marBottom w:val="0"/>
      <w:divBdr>
        <w:top w:val="none" w:sz="0" w:space="0" w:color="auto"/>
        <w:left w:val="none" w:sz="0" w:space="0" w:color="auto"/>
        <w:bottom w:val="none" w:sz="0" w:space="0" w:color="auto"/>
        <w:right w:val="none" w:sz="0" w:space="0" w:color="auto"/>
      </w:divBdr>
    </w:div>
    <w:div w:id="1607035379">
      <w:bodyDiv w:val="1"/>
      <w:marLeft w:val="0"/>
      <w:marRight w:val="0"/>
      <w:marTop w:val="0"/>
      <w:marBottom w:val="0"/>
      <w:divBdr>
        <w:top w:val="none" w:sz="0" w:space="0" w:color="auto"/>
        <w:left w:val="none" w:sz="0" w:space="0" w:color="auto"/>
        <w:bottom w:val="none" w:sz="0" w:space="0" w:color="auto"/>
        <w:right w:val="none" w:sz="0" w:space="0" w:color="auto"/>
      </w:divBdr>
    </w:div>
    <w:div w:id="1642885764">
      <w:bodyDiv w:val="1"/>
      <w:marLeft w:val="0"/>
      <w:marRight w:val="0"/>
      <w:marTop w:val="0"/>
      <w:marBottom w:val="0"/>
      <w:divBdr>
        <w:top w:val="none" w:sz="0" w:space="0" w:color="auto"/>
        <w:left w:val="none" w:sz="0" w:space="0" w:color="auto"/>
        <w:bottom w:val="none" w:sz="0" w:space="0" w:color="auto"/>
        <w:right w:val="none" w:sz="0" w:space="0" w:color="auto"/>
      </w:divBdr>
      <w:divsChild>
        <w:div w:id="267395210">
          <w:marLeft w:val="1080"/>
          <w:marRight w:val="0"/>
          <w:marTop w:val="60"/>
          <w:marBottom w:val="0"/>
          <w:divBdr>
            <w:top w:val="none" w:sz="0" w:space="0" w:color="auto"/>
            <w:left w:val="none" w:sz="0" w:space="0" w:color="auto"/>
            <w:bottom w:val="none" w:sz="0" w:space="0" w:color="auto"/>
            <w:right w:val="none" w:sz="0" w:space="0" w:color="auto"/>
          </w:divBdr>
        </w:div>
        <w:div w:id="914587130">
          <w:marLeft w:val="547"/>
          <w:marRight w:val="0"/>
          <w:marTop w:val="60"/>
          <w:marBottom w:val="0"/>
          <w:divBdr>
            <w:top w:val="none" w:sz="0" w:space="0" w:color="auto"/>
            <w:left w:val="none" w:sz="0" w:space="0" w:color="auto"/>
            <w:bottom w:val="none" w:sz="0" w:space="0" w:color="auto"/>
            <w:right w:val="none" w:sz="0" w:space="0" w:color="auto"/>
          </w:divBdr>
        </w:div>
        <w:div w:id="1983584198">
          <w:marLeft w:val="547"/>
          <w:marRight w:val="0"/>
          <w:marTop w:val="60"/>
          <w:marBottom w:val="0"/>
          <w:divBdr>
            <w:top w:val="none" w:sz="0" w:space="0" w:color="auto"/>
            <w:left w:val="none" w:sz="0" w:space="0" w:color="auto"/>
            <w:bottom w:val="none" w:sz="0" w:space="0" w:color="auto"/>
            <w:right w:val="none" w:sz="0" w:space="0" w:color="auto"/>
          </w:divBdr>
        </w:div>
      </w:divsChild>
    </w:div>
    <w:div w:id="1643391233">
      <w:bodyDiv w:val="1"/>
      <w:marLeft w:val="0"/>
      <w:marRight w:val="0"/>
      <w:marTop w:val="0"/>
      <w:marBottom w:val="0"/>
      <w:divBdr>
        <w:top w:val="none" w:sz="0" w:space="0" w:color="auto"/>
        <w:left w:val="none" w:sz="0" w:space="0" w:color="auto"/>
        <w:bottom w:val="none" w:sz="0" w:space="0" w:color="auto"/>
        <w:right w:val="none" w:sz="0" w:space="0" w:color="auto"/>
      </w:divBdr>
    </w:div>
    <w:div w:id="1743525843">
      <w:bodyDiv w:val="1"/>
      <w:marLeft w:val="0"/>
      <w:marRight w:val="0"/>
      <w:marTop w:val="0"/>
      <w:marBottom w:val="0"/>
      <w:divBdr>
        <w:top w:val="none" w:sz="0" w:space="0" w:color="auto"/>
        <w:left w:val="none" w:sz="0" w:space="0" w:color="auto"/>
        <w:bottom w:val="none" w:sz="0" w:space="0" w:color="auto"/>
        <w:right w:val="none" w:sz="0" w:space="0" w:color="auto"/>
      </w:divBdr>
    </w:div>
    <w:div w:id="1816946097">
      <w:bodyDiv w:val="1"/>
      <w:marLeft w:val="0"/>
      <w:marRight w:val="0"/>
      <w:marTop w:val="0"/>
      <w:marBottom w:val="0"/>
      <w:divBdr>
        <w:top w:val="none" w:sz="0" w:space="0" w:color="auto"/>
        <w:left w:val="none" w:sz="0" w:space="0" w:color="auto"/>
        <w:bottom w:val="none" w:sz="0" w:space="0" w:color="auto"/>
        <w:right w:val="none" w:sz="0" w:space="0" w:color="auto"/>
      </w:divBdr>
    </w:div>
    <w:div w:id="1851600816">
      <w:bodyDiv w:val="1"/>
      <w:marLeft w:val="0"/>
      <w:marRight w:val="0"/>
      <w:marTop w:val="0"/>
      <w:marBottom w:val="0"/>
      <w:divBdr>
        <w:top w:val="none" w:sz="0" w:space="0" w:color="auto"/>
        <w:left w:val="none" w:sz="0" w:space="0" w:color="auto"/>
        <w:bottom w:val="none" w:sz="0" w:space="0" w:color="auto"/>
        <w:right w:val="none" w:sz="0" w:space="0" w:color="auto"/>
      </w:divBdr>
    </w:div>
    <w:div w:id="1946422124">
      <w:bodyDiv w:val="1"/>
      <w:marLeft w:val="0"/>
      <w:marRight w:val="0"/>
      <w:marTop w:val="0"/>
      <w:marBottom w:val="0"/>
      <w:divBdr>
        <w:top w:val="none" w:sz="0" w:space="0" w:color="auto"/>
        <w:left w:val="none" w:sz="0" w:space="0" w:color="auto"/>
        <w:bottom w:val="none" w:sz="0" w:space="0" w:color="auto"/>
        <w:right w:val="none" w:sz="0" w:space="0" w:color="auto"/>
      </w:divBdr>
    </w:div>
    <w:div w:id="1974019979">
      <w:bodyDiv w:val="1"/>
      <w:marLeft w:val="0"/>
      <w:marRight w:val="0"/>
      <w:marTop w:val="0"/>
      <w:marBottom w:val="0"/>
      <w:divBdr>
        <w:top w:val="none" w:sz="0" w:space="0" w:color="auto"/>
        <w:left w:val="none" w:sz="0" w:space="0" w:color="auto"/>
        <w:bottom w:val="none" w:sz="0" w:space="0" w:color="auto"/>
        <w:right w:val="none" w:sz="0" w:space="0" w:color="auto"/>
      </w:divBdr>
    </w:div>
    <w:div w:id="1997223426">
      <w:bodyDiv w:val="1"/>
      <w:marLeft w:val="0"/>
      <w:marRight w:val="0"/>
      <w:marTop w:val="0"/>
      <w:marBottom w:val="0"/>
      <w:divBdr>
        <w:top w:val="none" w:sz="0" w:space="0" w:color="auto"/>
        <w:left w:val="none" w:sz="0" w:space="0" w:color="auto"/>
        <w:bottom w:val="none" w:sz="0" w:space="0" w:color="auto"/>
        <w:right w:val="none" w:sz="0" w:space="0" w:color="auto"/>
      </w:divBdr>
    </w:div>
    <w:div w:id="2058426644">
      <w:bodyDiv w:val="1"/>
      <w:marLeft w:val="0"/>
      <w:marRight w:val="0"/>
      <w:marTop w:val="0"/>
      <w:marBottom w:val="0"/>
      <w:divBdr>
        <w:top w:val="none" w:sz="0" w:space="0" w:color="auto"/>
        <w:left w:val="none" w:sz="0" w:space="0" w:color="auto"/>
        <w:bottom w:val="none" w:sz="0" w:space="0" w:color="auto"/>
        <w:right w:val="none" w:sz="0" w:space="0" w:color="auto"/>
      </w:divBdr>
    </w:div>
    <w:div w:id="2099788743">
      <w:bodyDiv w:val="1"/>
      <w:marLeft w:val="0"/>
      <w:marRight w:val="0"/>
      <w:marTop w:val="0"/>
      <w:marBottom w:val="0"/>
      <w:divBdr>
        <w:top w:val="none" w:sz="0" w:space="0" w:color="auto"/>
        <w:left w:val="none" w:sz="0" w:space="0" w:color="auto"/>
        <w:bottom w:val="none" w:sz="0" w:space="0" w:color="auto"/>
        <w:right w:val="none" w:sz="0" w:space="0" w:color="auto"/>
      </w:divBdr>
    </w:div>
    <w:div w:id="2135440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B7829E-688E-4BF1-B2A2-45943818EDC9}">
  <ds:schemaRefs>
    <ds:schemaRef ds:uri="http://schemas.microsoft.com/sharepoint/v3/contenttype/forms"/>
  </ds:schemaRefs>
</ds:datastoreItem>
</file>

<file path=customXml/itemProps2.xml><?xml version="1.0" encoding="utf-8"?>
<ds:datastoreItem xmlns:ds="http://schemas.openxmlformats.org/officeDocument/2006/customXml" ds:itemID="{8E949921-DA18-4F87-8630-809070390F16}">
  <ds:schemaRefs>
    <ds:schemaRef ds:uri="http://schemas.microsoft.com/office/2006/documentManagement/types"/>
    <ds:schemaRef ds:uri="http://schemas.microsoft.com/office/2006/metadata/properties"/>
    <ds:schemaRef ds:uri="http://purl.org/dc/elements/1.1/"/>
    <ds:schemaRef ds:uri="http://schemas.microsoft.com/sharepoint/v3"/>
    <ds:schemaRef ds:uri="2f282d3b-eb4a-4b09-b61f-b9593442e286"/>
    <ds:schemaRef ds:uri="http://schemas.openxmlformats.org/package/2006/metadata/core-properties"/>
    <ds:schemaRef ds:uri="http://purl.org/dc/terms/"/>
    <ds:schemaRef ds:uri="http://schemas.microsoft.com/office/infopath/2007/PartnerControls"/>
    <ds:schemaRef ds:uri="9b239327-9e80-40e4-b1b7-4394fed77a33"/>
    <ds:schemaRef ds:uri="http://www.w3.org/XML/1998/namespace"/>
    <ds:schemaRef ds:uri="http://purl.org/dc/dcmitype/"/>
  </ds:schemaRefs>
</ds:datastoreItem>
</file>

<file path=customXml/itemProps3.xml><?xml version="1.0" encoding="utf-8"?>
<ds:datastoreItem xmlns:ds="http://schemas.openxmlformats.org/officeDocument/2006/customXml" ds:itemID="{4A49375F-BA9E-4CD6-ADC9-62000F37C5DF}">
  <ds:schemaRefs>
    <ds:schemaRef ds:uri="http://schemas.openxmlformats.org/officeDocument/2006/bibliography"/>
  </ds:schemaRefs>
</ds:datastoreItem>
</file>

<file path=customXml/itemProps4.xml><?xml version="1.0" encoding="utf-8"?>
<ds:datastoreItem xmlns:ds="http://schemas.openxmlformats.org/officeDocument/2006/customXml" ds:itemID="{537DD4AC-1CCF-49B6-BC91-FC372BB6D7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18829</TotalTime>
  <Pages>3</Pages>
  <Words>5110</Words>
  <Characters>29133</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 (Robert)</cp:lastModifiedBy>
  <cp:revision>380</cp:revision>
  <dcterms:created xsi:type="dcterms:W3CDTF">2021-01-14T23:10:00Z</dcterms:created>
  <dcterms:modified xsi:type="dcterms:W3CDTF">2022-01-11T12:04:00Z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